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56" w:rsidRPr="001A546E" w:rsidRDefault="00B34F19" w:rsidP="00B23C16">
      <w:pPr>
        <w:spacing w:after="0" w:line="240" w:lineRule="auto"/>
        <w:rPr>
          <w:rFonts w:ascii="Verdana" w:hAnsi="Verdana" w:cs="Arial"/>
          <w:bCs/>
          <w:color w:val="2BADEC" w:themeColor="accent1" w:themeShade="BF"/>
          <w:sz w:val="24"/>
          <w:szCs w:val="24"/>
        </w:rPr>
      </w:pPr>
      <w:bookmarkStart w:id="0" w:name="_GoBack"/>
      <w:bookmarkEnd w:id="0"/>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Pr>
          <w:rFonts w:ascii="Verdana" w:hAnsi="Verdana" w:cs="Arial"/>
          <w:bCs/>
          <w:color w:val="2BADEC" w:themeColor="accent1" w:themeShade="BF"/>
          <w:sz w:val="24"/>
          <w:szCs w:val="24"/>
        </w:rPr>
        <w:tab/>
      </w:r>
      <w:r w:rsidRPr="001A546E">
        <w:rPr>
          <w:rFonts w:ascii="Verdana" w:hAnsi="Verdana" w:cs="Arial"/>
          <w:bCs/>
          <w:sz w:val="24"/>
          <w:szCs w:val="24"/>
        </w:rPr>
        <w:t>Appendix 3</w:t>
      </w:r>
    </w:p>
    <w:p w:rsidR="001A546E" w:rsidRDefault="00B34F19" w:rsidP="001A546E">
      <w:pPr>
        <w:pStyle w:val="Heading1"/>
        <w:spacing w:before="0" w:after="0" w:line="276" w:lineRule="auto"/>
        <w:rPr>
          <w:rFonts w:ascii="Verdana" w:hAnsi="Verdana"/>
          <w:b w:val="0"/>
          <w:color w:val="183850" w:themeColor="text1"/>
          <w:sz w:val="34"/>
          <w:szCs w:val="34"/>
        </w:rPr>
      </w:pPr>
    </w:p>
    <w:p w:rsidR="001A546E" w:rsidRDefault="00B34F19" w:rsidP="001A546E">
      <w:pPr>
        <w:pStyle w:val="Heading1"/>
        <w:spacing w:before="0" w:after="0" w:line="276" w:lineRule="auto"/>
        <w:rPr>
          <w:rFonts w:ascii="Verdana" w:hAnsi="Verdana"/>
          <w:b w:val="0"/>
          <w:color w:val="183850" w:themeColor="text1"/>
          <w:sz w:val="34"/>
          <w:szCs w:val="34"/>
        </w:rPr>
      </w:pPr>
      <w:r w:rsidRPr="00B23C16">
        <w:rPr>
          <w:rFonts w:ascii="Verdana" w:hAnsi="Verdana"/>
          <w:b w:val="0"/>
          <w:color w:val="183850" w:themeColor="text1"/>
          <w:sz w:val="34"/>
          <w:szCs w:val="34"/>
        </w:rPr>
        <w:t>LOCAL PENSIONS PARTNERSHIP</w:t>
      </w:r>
    </w:p>
    <w:p w:rsidR="001A546E" w:rsidRPr="00B23C16" w:rsidRDefault="00B34F19" w:rsidP="001A546E">
      <w:pPr>
        <w:pStyle w:val="Heading1"/>
        <w:spacing w:before="0" w:after="0" w:line="276" w:lineRule="auto"/>
        <w:rPr>
          <w:rFonts w:ascii="Verdana" w:hAnsi="Verdana"/>
          <w:b w:val="0"/>
          <w:color w:val="183850" w:themeColor="text1"/>
          <w:sz w:val="34"/>
          <w:szCs w:val="34"/>
        </w:rPr>
      </w:pPr>
      <w:r w:rsidRPr="00B23C16">
        <w:rPr>
          <w:rFonts w:ascii="Verdana" w:hAnsi="Verdana"/>
          <w:b w:val="0"/>
          <w:color w:val="183850" w:themeColor="text1"/>
          <w:sz w:val="34"/>
          <w:szCs w:val="34"/>
        </w:rPr>
        <w:t xml:space="preserve"> INVESTMENTS LIMITED</w:t>
      </w:r>
    </w:p>
    <w:p w:rsidR="001A546E" w:rsidRDefault="00B34F19" w:rsidP="00B23C16">
      <w:pPr>
        <w:spacing w:after="0" w:line="240" w:lineRule="auto"/>
        <w:rPr>
          <w:rFonts w:ascii="Verdana" w:hAnsi="Verdana" w:cs="Arial"/>
          <w:bCs/>
          <w:color w:val="2BADEC" w:themeColor="accent1" w:themeShade="BF"/>
          <w:sz w:val="34"/>
          <w:szCs w:val="34"/>
        </w:rPr>
      </w:pPr>
    </w:p>
    <w:p w:rsidR="001A546E" w:rsidRDefault="00B34F19" w:rsidP="00B23C16">
      <w:pPr>
        <w:spacing w:after="0" w:line="240" w:lineRule="auto"/>
        <w:rPr>
          <w:rFonts w:ascii="Verdana" w:hAnsi="Verdana" w:cs="Arial"/>
          <w:bCs/>
          <w:color w:val="2BADEC" w:themeColor="accent1" w:themeShade="BF"/>
          <w:sz w:val="34"/>
          <w:szCs w:val="34"/>
        </w:rPr>
      </w:pPr>
    </w:p>
    <w:p w:rsidR="009C39E5" w:rsidRPr="00B22E56" w:rsidRDefault="00B34F19" w:rsidP="00320885">
      <w:pPr>
        <w:spacing w:after="0" w:line="240" w:lineRule="auto"/>
        <w:rPr>
          <w:rFonts w:ascii="Verdana" w:hAnsi="Verdana" w:cs="Arial"/>
          <w:bCs/>
          <w:color w:val="2BADEC" w:themeColor="accent1" w:themeShade="BF"/>
          <w:sz w:val="34"/>
          <w:szCs w:val="34"/>
        </w:rPr>
      </w:pPr>
      <w:r>
        <w:rPr>
          <w:rFonts w:ascii="Verdana" w:hAnsi="Verdana" w:cs="Arial"/>
          <w:bCs/>
          <w:color w:val="2BADEC" w:themeColor="accent1" w:themeShade="BF"/>
          <w:sz w:val="34"/>
          <w:szCs w:val="34"/>
        </w:rPr>
        <w:t>Responsible Investment</w:t>
      </w:r>
      <w:r w:rsidRPr="00B23C16">
        <w:rPr>
          <w:rFonts w:ascii="Verdana" w:hAnsi="Verdana" w:cs="Arial"/>
          <w:bCs/>
          <w:color w:val="2BADEC" w:themeColor="accent1" w:themeShade="BF"/>
          <w:sz w:val="34"/>
          <w:szCs w:val="34"/>
        </w:rPr>
        <w:t xml:space="preserve"> Policy</w:t>
      </w:r>
    </w:p>
    <w:p w:rsidR="00B23C16" w:rsidRPr="00B23C16" w:rsidRDefault="00B34F19" w:rsidP="00320885">
      <w:pPr>
        <w:spacing w:after="0" w:line="240" w:lineRule="auto"/>
        <w:rPr>
          <w:rFonts w:ascii="Verdana" w:hAnsi="Verdana" w:cs="Arial"/>
          <w:b/>
          <w:bCs/>
          <w:sz w:val="20"/>
          <w:szCs w:val="20"/>
        </w:rPr>
      </w:pPr>
    </w:p>
    <w:p w:rsidR="00E04E31" w:rsidRPr="00E04E31" w:rsidRDefault="00B34F19" w:rsidP="00E04E31">
      <w:pPr>
        <w:pStyle w:val="treb"/>
        <w:ind w:left="567" w:hanging="567"/>
        <w:rPr>
          <w:rFonts w:ascii="Verdana" w:hAnsi="Verdana"/>
          <w:color w:val="54BBAB" w:themeColor="text2"/>
          <w:sz w:val="20"/>
          <w:szCs w:val="20"/>
        </w:rPr>
      </w:pPr>
      <w:r w:rsidRPr="00B23C16">
        <w:rPr>
          <w:rFonts w:ascii="Verdana" w:hAnsi="Verdana"/>
          <w:color w:val="54BBAB" w:themeColor="text2"/>
          <w:sz w:val="20"/>
          <w:szCs w:val="20"/>
        </w:rPr>
        <w:t>Introduction</w:t>
      </w:r>
    </w:p>
    <w:p w:rsidR="00CE3678" w:rsidRPr="00E04E31" w:rsidRDefault="00B34F19" w:rsidP="00CE3678">
      <w:pPr>
        <w:pStyle w:val="treb"/>
        <w:numPr>
          <w:ilvl w:val="0"/>
          <w:numId w:val="0"/>
        </w:numPr>
        <w:rPr>
          <w:rFonts w:ascii="Verdana" w:hAnsi="Verdana"/>
          <w:b w:val="0"/>
          <w:sz w:val="20"/>
          <w:szCs w:val="20"/>
        </w:rPr>
      </w:pPr>
      <w:r w:rsidRPr="00E04E31">
        <w:rPr>
          <w:rFonts w:ascii="Verdana" w:hAnsi="Verdana"/>
          <w:b w:val="0"/>
          <w:sz w:val="20"/>
          <w:szCs w:val="20"/>
        </w:rPr>
        <w:t xml:space="preserve">Local Pensions Partnership Investments Ltd (LPP I) is committed to the long-term term responsible investment of pension savings. </w:t>
      </w:r>
    </w:p>
    <w:p w:rsidR="00CE3678" w:rsidRPr="00E04E31" w:rsidRDefault="00B34F19" w:rsidP="00CE3678">
      <w:pPr>
        <w:pStyle w:val="treb"/>
        <w:numPr>
          <w:ilvl w:val="0"/>
          <w:numId w:val="0"/>
        </w:numPr>
        <w:rPr>
          <w:rFonts w:ascii="Verdana" w:hAnsi="Verdana"/>
          <w:b w:val="0"/>
          <w:sz w:val="20"/>
          <w:szCs w:val="20"/>
        </w:rPr>
      </w:pPr>
      <w:r w:rsidRPr="00E04E31">
        <w:rPr>
          <w:rFonts w:ascii="Verdana" w:hAnsi="Verdana"/>
          <w:b w:val="0"/>
          <w:sz w:val="20"/>
          <w:szCs w:val="20"/>
        </w:rPr>
        <w:t xml:space="preserve">Our </w:t>
      </w:r>
      <w:r w:rsidRPr="00E04E31">
        <w:rPr>
          <w:rFonts w:ascii="Verdana" w:hAnsi="Verdana"/>
          <w:b w:val="0"/>
          <w:sz w:val="20"/>
          <w:szCs w:val="20"/>
        </w:rPr>
        <w:t>Responsible Investment approach encompasses the beliefs, standards, procedures and activities through which we fulfil fiduciary responsibilities to our clients as an integral part of our stewardship of their assets.</w:t>
      </w:r>
    </w:p>
    <w:p w:rsidR="00CE3678" w:rsidRPr="00CE3678" w:rsidRDefault="00B34F19" w:rsidP="00CE3678">
      <w:pPr>
        <w:pStyle w:val="treb"/>
        <w:numPr>
          <w:ilvl w:val="0"/>
          <w:numId w:val="0"/>
        </w:numPr>
        <w:rPr>
          <w:rStyle w:val="subparatext"/>
          <w:rFonts w:ascii="Verdana" w:hAnsi="Verdana" w:cs="Arial"/>
          <w:b w:val="0"/>
          <w:sz w:val="20"/>
          <w:szCs w:val="20"/>
        </w:rPr>
      </w:pPr>
      <w:r w:rsidRPr="00E04E31">
        <w:rPr>
          <w:rFonts w:ascii="Verdana" w:hAnsi="Verdana"/>
          <w:b w:val="0"/>
          <w:sz w:val="20"/>
          <w:szCs w:val="20"/>
        </w:rPr>
        <w:t xml:space="preserve">This Responsible Investment Policy sets </w:t>
      </w:r>
      <w:r w:rsidRPr="00E04E31">
        <w:rPr>
          <w:rFonts w:ascii="Verdana" w:hAnsi="Verdana"/>
          <w:b w:val="0"/>
          <w:sz w:val="20"/>
          <w:szCs w:val="20"/>
        </w:rPr>
        <w:t>out our Responsible Investment beliefs and explains how they are translated into stewardship practice.</w:t>
      </w:r>
    </w:p>
    <w:p w:rsidR="00320885" w:rsidRPr="00B23C16" w:rsidRDefault="00B34F19" w:rsidP="00E04E31">
      <w:pPr>
        <w:pStyle w:val="treb"/>
        <w:spacing w:after="0"/>
        <w:ind w:left="567" w:hanging="567"/>
        <w:rPr>
          <w:rFonts w:ascii="Verdana" w:hAnsi="Verdana"/>
          <w:color w:val="54BBAB" w:themeColor="text2"/>
          <w:sz w:val="20"/>
          <w:szCs w:val="20"/>
        </w:rPr>
      </w:pPr>
      <w:r>
        <w:rPr>
          <w:rFonts w:ascii="Verdana" w:hAnsi="Verdana"/>
          <w:color w:val="54BBAB" w:themeColor="text2"/>
          <w:sz w:val="20"/>
          <w:szCs w:val="20"/>
        </w:rPr>
        <w:t>Our Responsible Investment Beliefs</w:t>
      </w:r>
    </w:p>
    <w:p w:rsidR="00E04E31" w:rsidRDefault="00B34F19" w:rsidP="00E04E31">
      <w:pPr>
        <w:spacing w:after="0"/>
        <w:jc w:val="both"/>
        <w:rPr>
          <w:rStyle w:val="subparatext"/>
          <w:rFonts w:ascii="Verdana" w:hAnsi="Verdana" w:cs="Arial"/>
          <w:sz w:val="20"/>
          <w:szCs w:val="20"/>
        </w:rPr>
      </w:pPr>
    </w:p>
    <w:p w:rsidR="00CE3678" w:rsidRDefault="00B34F19" w:rsidP="00E04E31">
      <w:pPr>
        <w:spacing w:after="0"/>
        <w:jc w:val="both"/>
        <w:rPr>
          <w:rStyle w:val="subparatext"/>
          <w:rFonts w:ascii="Verdana" w:hAnsi="Verdana" w:cs="Arial"/>
          <w:sz w:val="20"/>
          <w:szCs w:val="20"/>
        </w:rPr>
      </w:pPr>
      <w:r w:rsidRPr="00E04E31">
        <w:rPr>
          <w:rStyle w:val="subparatext"/>
          <w:rFonts w:ascii="Verdana" w:hAnsi="Verdana" w:cs="Arial"/>
          <w:sz w:val="20"/>
          <w:szCs w:val="20"/>
        </w:rPr>
        <w:t>We believe that;</w:t>
      </w:r>
    </w:p>
    <w:p w:rsidR="00B22E56" w:rsidRPr="00E04E31" w:rsidRDefault="00B34F19" w:rsidP="00E04E31">
      <w:pPr>
        <w:spacing w:after="0"/>
        <w:jc w:val="both"/>
        <w:rPr>
          <w:rStyle w:val="subparatext"/>
          <w:rFonts w:ascii="Verdana" w:hAnsi="Verdana" w:cs="Arial"/>
          <w:sz w:val="20"/>
          <w:szCs w:val="20"/>
        </w:rPr>
      </w:pPr>
    </w:p>
    <w:p w:rsidR="00CE3678" w:rsidRDefault="00B34F19" w:rsidP="00E04E31">
      <w:pPr>
        <w:pStyle w:val="treb"/>
        <w:numPr>
          <w:ilvl w:val="0"/>
          <w:numId w:val="19"/>
        </w:numPr>
        <w:spacing w:after="0"/>
        <w:ind w:hanging="720"/>
        <w:rPr>
          <w:rStyle w:val="subparatext"/>
          <w:rFonts w:ascii="Verdana" w:hAnsi="Verdana" w:cs="Arial"/>
          <w:b w:val="0"/>
          <w:sz w:val="20"/>
          <w:szCs w:val="20"/>
        </w:rPr>
      </w:pPr>
      <w:r w:rsidRPr="00E04E31">
        <w:rPr>
          <w:rStyle w:val="subparatext"/>
          <w:rFonts w:ascii="Verdana" w:hAnsi="Verdana" w:cs="Arial"/>
          <w:b w:val="0"/>
          <w:sz w:val="20"/>
          <w:szCs w:val="20"/>
        </w:rPr>
        <w:t>LPPI has as a fiduciary duty to act in the best long-term-term interests of client pension funds an</w:t>
      </w:r>
      <w:r w:rsidRPr="00E04E31">
        <w:rPr>
          <w:rStyle w:val="subparatext"/>
          <w:rFonts w:ascii="Verdana" w:hAnsi="Verdana" w:cs="Arial"/>
          <w:b w:val="0"/>
          <w:sz w:val="20"/>
          <w:szCs w:val="20"/>
        </w:rPr>
        <w:t xml:space="preserve">d their beneficiaries. Fulfilling this duty requires a governance structure, culture and investment approach collectively focussed on adding value over the long term. </w:t>
      </w:r>
    </w:p>
    <w:p w:rsidR="00E04E31" w:rsidRPr="00E04E31" w:rsidRDefault="00B34F19" w:rsidP="00E04E31">
      <w:pPr>
        <w:pStyle w:val="treb"/>
        <w:numPr>
          <w:ilvl w:val="0"/>
          <w:numId w:val="0"/>
        </w:numPr>
        <w:spacing w:after="0"/>
        <w:ind w:left="720"/>
        <w:rPr>
          <w:rStyle w:val="subparatext"/>
          <w:rFonts w:ascii="Verdana" w:hAnsi="Verdana" w:cs="Arial"/>
          <w:b w:val="0"/>
          <w:sz w:val="20"/>
          <w:szCs w:val="20"/>
        </w:rPr>
      </w:pPr>
    </w:p>
    <w:p w:rsidR="00CE3678" w:rsidRDefault="00B34F19" w:rsidP="00E04E31">
      <w:pPr>
        <w:pStyle w:val="treb"/>
        <w:spacing w:after="0"/>
        <w:ind w:hanging="720"/>
        <w:rPr>
          <w:rStyle w:val="subparatext"/>
          <w:rFonts w:ascii="Verdana" w:hAnsi="Verdana" w:cs="Arial"/>
          <w:b w:val="0"/>
          <w:sz w:val="20"/>
          <w:szCs w:val="20"/>
        </w:rPr>
      </w:pPr>
      <w:r w:rsidRPr="00E04E31">
        <w:rPr>
          <w:rStyle w:val="subparatext"/>
          <w:rFonts w:ascii="Verdana" w:hAnsi="Verdana" w:cs="Arial"/>
          <w:b w:val="0"/>
          <w:sz w:val="20"/>
          <w:szCs w:val="20"/>
        </w:rPr>
        <w:t>The objective of Responsible Investment is to secure optimum returns in the long term at an acceptable level of risk. Responsible Investment originates from an investment strategy designed to enable client pension funds to meet their obligations to pay pen</w:t>
      </w:r>
      <w:r w:rsidRPr="00E04E31">
        <w:rPr>
          <w:rStyle w:val="subparatext"/>
          <w:rFonts w:ascii="Verdana" w:hAnsi="Verdana" w:cs="Arial"/>
          <w:b w:val="0"/>
          <w:sz w:val="20"/>
          <w:szCs w:val="20"/>
        </w:rPr>
        <w:t xml:space="preserve">sion benefits and is realised in practice through the quality of the business processes which collectively make up stewardship. </w:t>
      </w:r>
    </w:p>
    <w:p w:rsidR="00E04E31" w:rsidRPr="00E04E31" w:rsidRDefault="00B34F19" w:rsidP="00E04E31">
      <w:pPr>
        <w:pStyle w:val="treb"/>
        <w:numPr>
          <w:ilvl w:val="0"/>
          <w:numId w:val="0"/>
        </w:numPr>
        <w:spacing w:after="0"/>
        <w:ind w:left="720"/>
        <w:rPr>
          <w:rStyle w:val="subparatext"/>
          <w:rFonts w:ascii="Verdana" w:hAnsi="Verdana" w:cs="Arial"/>
          <w:b w:val="0"/>
          <w:sz w:val="20"/>
          <w:szCs w:val="20"/>
        </w:rPr>
      </w:pPr>
    </w:p>
    <w:p w:rsidR="00CE3678" w:rsidRDefault="00B34F19" w:rsidP="00E04E31">
      <w:pPr>
        <w:pStyle w:val="treb"/>
        <w:spacing w:after="0"/>
        <w:ind w:hanging="720"/>
        <w:rPr>
          <w:rStyle w:val="subparatext"/>
          <w:rFonts w:ascii="Verdana" w:hAnsi="Verdana" w:cs="Arial"/>
          <w:b w:val="0"/>
          <w:sz w:val="20"/>
          <w:szCs w:val="20"/>
        </w:rPr>
      </w:pPr>
      <w:r w:rsidRPr="00E04E31">
        <w:rPr>
          <w:rStyle w:val="subparatext"/>
          <w:rFonts w:ascii="Verdana" w:hAnsi="Verdana" w:cs="Arial"/>
          <w:b w:val="0"/>
          <w:sz w:val="20"/>
          <w:szCs w:val="20"/>
        </w:rPr>
        <w:t>The primary focus of Responsible Investment is the effective management of investment risks and opportunities in order to achi</w:t>
      </w:r>
      <w:r w:rsidRPr="00E04E31">
        <w:rPr>
          <w:rStyle w:val="subparatext"/>
          <w:rFonts w:ascii="Verdana" w:hAnsi="Verdana" w:cs="Arial"/>
          <w:b w:val="0"/>
          <w:sz w:val="20"/>
          <w:szCs w:val="20"/>
        </w:rPr>
        <w:t xml:space="preserve">eve optimum risk-adjusted returns on a sustainable basis. The attainment of </w:t>
      </w:r>
      <w:r>
        <w:rPr>
          <w:rStyle w:val="subparatext"/>
          <w:rFonts w:ascii="Verdana" w:hAnsi="Verdana" w:cs="Arial"/>
          <w:b w:val="0"/>
          <w:sz w:val="20"/>
          <w:szCs w:val="20"/>
        </w:rPr>
        <w:t xml:space="preserve">broader </w:t>
      </w:r>
      <w:r w:rsidRPr="00E04E31">
        <w:rPr>
          <w:rStyle w:val="subparatext"/>
          <w:rFonts w:ascii="Verdana" w:hAnsi="Verdana" w:cs="Arial"/>
          <w:b w:val="0"/>
          <w:sz w:val="20"/>
          <w:szCs w:val="20"/>
        </w:rPr>
        <w:t>social outcomes is secondary to funding the pension benefits payable to members.</w:t>
      </w:r>
    </w:p>
    <w:p w:rsidR="00E04E31" w:rsidRPr="00E04E31" w:rsidRDefault="00B34F19" w:rsidP="00E04E31">
      <w:pPr>
        <w:pStyle w:val="treb"/>
        <w:numPr>
          <w:ilvl w:val="0"/>
          <w:numId w:val="0"/>
        </w:numPr>
        <w:spacing w:after="0"/>
        <w:rPr>
          <w:rStyle w:val="subparatext"/>
          <w:rFonts w:ascii="Verdana" w:hAnsi="Verdana" w:cs="Arial"/>
          <w:b w:val="0"/>
          <w:sz w:val="20"/>
          <w:szCs w:val="20"/>
        </w:rPr>
      </w:pPr>
    </w:p>
    <w:p w:rsidR="00CE3678" w:rsidRDefault="00B34F19" w:rsidP="00E04E31">
      <w:pPr>
        <w:pStyle w:val="treb"/>
        <w:spacing w:after="0"/>
        <w:ind w:hanging="720"/>
        <w:rPr>
          <w:rStyle w:val="subparatext"/>
          <w:rFonts w:ascii="Verdana" w:hAnsi="Verdana" w:cs="Arial"/>
          <w:b w:val="0"/>
          <w:sz w:val="20"/>
          <w:szCs w:val="20"/>
        </w:rPr>
      </w:pPr>
      <w:r w:rsidRPr="00E04E31">
        <w:rPr>
          <w:rStyle w:val="subparatext"/>
          <w:rFonts w:ascii="Verdana" w:hAnsi="Verdana" w:cs="Arial"/>
          <w:b w:val="0"/>
          <w:sz w:val="20"/>
          <w:szCs w:val="20"/>
        </w:rPr>
        <w:t>Environmental, Social and Governance (ESG) factors can have a direct financial impact on t</w:t>
      </w:r>
      <w:r w:rsidRPr="00E04E31">
        <w:rPr>
          <w:rStyle w:val="subparatext"/>
          <w:rFonts w:ascii="Verdana" w:hAnsi="Verdana" w:cs="Arial"/>
          <w:b w:val="0"/>
          <w:sz w:val="20"/>
          <w:szCs w:val="20"/>
        </w:rPr>
        <w:t>he value of individual investments and an influence on long-term investment performance. The consideration of ESG factors is relevant at every stage in the investment cycle - within investment strategy, investment selection, and within the stewa</w:t>
      </w:r>
      <w:r>
        <w:rPr>
          <w:rStyle w:val="subparatext"/>
          <w:rFonts w:ascii="Verdana" w:hAnsi="Verdana" w:cs="Arial"/>
          <w:b w:val="0"/>
          <w:sz w:val="20"/>
          <w:szCs w:val="20"/>
        </w:rPr>
        <w:t>rdship of a</w:t>
      </w:r>
      <w:r>
        <w:rPr>
          <w:rStyle w:val="subparatext"/>
          <w:rFonts w:ascii="Verdana" w:hAnsi="Verdana" w:cs="Arial"/>
          <w:b w:val="0"/>
          <w:sz w:val="20"/>
          <w:szCs w:val="20"/>
        </w:rPr>
        <w:t>ssets in ownership.</w:t>
      </w:r>
    </w:p>
    <w:p w:rsidR="00E04E31" w:rsidRPr="00E04E31" w:rsidRDefault="00B34F19" w:rsidP="00E04E31">
      <w:pPr>
        <w:pStyle w:val="treb"/>
        <w:numPr>
          <w:ilvl w:val="0"/>
          <w:numId w:val="0"/>
        </w:numPr>
        <w:spacing w:after="0"/>
        <w:rPr>
          <w:rStyle w:val="subparatext"/>
          <w:rFonts w:ascii="Verdana" w:hAnsi="Verdana" w:cs="Arial"/>
          <w:b w:val="0"/>
          <w:sz w:val="20"/>
          <w:szCs w:val="20"/>
        </w:rPr>
      </w:pPr>
    </w:p>
    <w:p w:rsidR="00E04E31" w:rsidRDefault="00B34F19" w:rsidP="00B22E56">
      <w:pPr>
        <w:pStyle w:val="treb"/>
        <w:spacing w:after="0"/>
        <w:ind w:hanging="720"/>
        <w:rPr>
          <w:rStyle w:val="subparatext"/>
          <w:rFonts w:ascii="Verdana" w:hAnsi="Verdana" w:cs="Arial"/>
          <w:b w:val="0"/>
          <w:sz w:val="20"/>
          <w:szCs w:val="20"/>
        </w:rPr>
      </w:pPr>
      <w:r w:rsidRPr="00E04E31">
        <w:rPr>
          <w:rStyle w:val="subparatext"/>
          <w:rFonts w:ascii="Verdana" w:hAnsi="Verdana" w:cs="Arial"/>
          <w:b w:val="0"/>
          <w:sz w:val="20"/>
          <w:szCs w:val="20"/>
        </w:rPr>
        <w:t xml:space="preserve">As providers of capital, investors have influence. Institutional investors should utilise their ownership powers to exert influence in circumstances where their intervention is warranted to protect the long-term financial interests of </w:t>
      </w:r>
      <w:r w:rsidRPr="00E04E31">
        <w:rPr>
          <w:rStyle w:val="subparatext"/>
          <w:rFonts w:ascii="Verdana" w:hAnsi="Verdana" w:cs="Arial"/>
          <w:b w:val="0"/>
          <w:sz w:val="20"/>
          <w:szCs w:val="20"/>
        </w:rPr>
        <w:lastRenderedPageBreak/>
        <w:t>beneficiaries. Responsible asset owners should maintain oversight of the way in which the enterprises they invest in are managed and how they impact upon customers, clients, employees, stakeholders, and wider society.</w:t>
      </w:r>
    </w:p>
    <w:p w:rsidR="001A546E" w:rsidRDefault="00B34F19" w:rsidP="001A546E">
      <w:pPr>
        <w:pStyle w:val="treb"/>
        <w:numPr>
          <w:ilvl w:val="0"/>
          <w:numId w:val="0"/>
        </w:numPr>
        <w:spacing w:after="0"/>
        <w:ind w:left="720" w:hanging="360"/>
        <w:rPr>
          <w:rStyle w:val="subparatext"/>
          <w:rFonts w:ascii="Verdana" w:hAnsi="Verdana" w:cs="Arial"/>
          <w:b w:val="0"/>
          <w:sz w:val="20"/>
          <w:szCs w:val="20"/>
        </w:rPr>
      </w:pPr>
    </w:p>
    <w:p w:rsidR="00E04E31" w:rsidRPr="00E04E31" w:rsidRDefault="00B34F19" w:rsidP="00E04E31">
      <w:pPr>
        <w:pStyle w:val="treb"/>
        <w:numPr>
          <w:ilvl w:val="0"/>
          <w:numId w:val="20"/>
        </w:numPr>
        <w:spacing w:after="0"/>
        <w:ind w:left="567" w:hanging="567"/>
        <w:rPr>
          <w:rFonts w:ascii="Verdana" w:hAnsi="Verdana"/>
          <w:color w:val="54BBAB" w:themeColor="text2"/>
          <w:sz w:val="20"/>
          <w:szCs w:val="20"/>
        </w:rPr>
      </w:pPr>
      <w:r w:rsidRPr="00E04E31">
        <w:rPr>
          <w:rFonts w:ascii="Verdana" w:hAnsi="Verdana"/>
          <w:color w:val="54BBAB" w:themeColor="text2"/>
          <w:sz w:val="20"/>
          <w:szCs w:val="20"/>
        </w:rPr>
        <w:t>Our Beliefs Translated into Practice</w:t>
      </w:r>
    </w:p>
    <w:p w:rsid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Our Responsible Investment approach focuses on fulfilling the responsibilities connected with managin</w:t>
      </w:r>
      <w:r>
        <w:rPr>
          <w:rFonts w:ascii="Verdana" w:hAnsi="Verdana" w:cs="Arial"/>
          <w:bCs/>
          <w:sz w:val="20"/>
          <w:szCs w:val="20"/>
        </w:rPr>
        <w:t xml:space="preserve">g investments as a </w:t>
      </w:r>
      <w:r>
        <w:rPr>
          <w:rFonts w:ascii="Verdana" w:hAnsi="Verdana"/>
          <w:sz w:val="20"/>
          <w:szCs w:val="20"/>
        </w:rPr>
        <w:t>trusted long-term steward of the retirement savings invested within asset-backed pension funds</w:t>
      </w:r>
      <w:r w:rsidRPr="00E04E31">
        <w:rPr>
          <w:rFonts w:ascii="Verdana" w:hAnsi="Verdana" w:cs="Arial"/>
          <w:bCs/>
          <w:sz w:val="20"/>
          <w:szCs w:val="20"/>
        </w:rPr>
        <w:t>.</w:t>
      </w:r>
    </w:p>
    <w:p w:rsidR="00E04E31" w:rsidRDefault="00B34F19" w:rsidP="00E04E31">
      <w:pPr>
        <w:spacing w:after="0"/>
        <w:jc w:val="both"/>
        <w:rPr>
          <w:rFonts w:ascii="Verdana" w:hAnsi="Verdana" w:cs="Arial"/>
          <w:bCs/>
          <w:i/>
          <w:sz w:val="20"/>
          <w:szCs w:val="20"/>
        </w:rPr>
      </w:pPr>
    </w:p>
    <w:p w:rsidR="00E04E31" w:rsidRPr="00E04E31" w:rsidRDefault="00B34F19" w:rsidP="00E04E31">
      <w:pPr>
        <w:pStyle w:val="treb"/>
        <w:numPr>
          <w:ilvl w:val="0"/>
          <w:numId w:val="0"/>
        </w:numPr>
        <w:spacing w:after="0"/>
        <w:rPr>
          <w:rFonts w:ascii="Verdana" w:hAnsi="Verdana"/>
          <w:i/>
          <w:color w:val="54BBAB" w:themeColor="text2"/>
          <w:sz w:val="20"/>
          <w:szCs w:val="20"/>
        </w:rPr>
      </w:pPr>
      <w:r w:rsidRPr="00E04E31">
        <w:rPr>
          <w:rFonts w:ascii="Verdana" w:hAnsi="Verdana"/>
          <w:i/>
          <w:color w:val="54BBAB" w:themeColor="text2"/>
          <w:sz w:val="20"/>
          <w:szCs w:val="20"/>
        </w:rPr>
        <w:t>We are Responsive to Client Needs</w:t>
      </w:r>
    </w:p>
    <w:p w:rsidR="00E04E31" w:rsidRPr="00E04E31" w:rsidRDefault="00B34F19" w:rsidP="00E04E31">
      <w:pPr>
        <w:spacing w:after="0"/>
        <w:jc w:val="both"/>
        <w:rPr>
          <w:rFonts w:ascii="Verdana" w:hAnsi="Verdana" w:cs="Arial"/>
          <w:bCs/>
          <w:i/>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LPP I is a provider of investment management services to pension funds within the UK. We strive to be a responsible long-term term investor via an investment approach which is driven by the circumstances of our clients and their specific investment needs. </w:t>
      </w: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Our clients are long-term investors with a duty to safeguard the cumulative pension savings of their members through the investment arrangements they put in place.  Ensuring sufficient funds are available to pay retirement benefits as they fall due is a l</w:t>
      </w:r>
      <w:r w:rsidRPr="00E04E31">
        <w:rPr>
          <w:rFonts w:ascii="Verdana" w:hAnsi="Verdana" w:cs="Arial"/>
          <w:bCs/>
          <w:sz w:val="20"/>
          <w:szCs w:val="20"/>
        </w:rPr>
        <w:t xml:space="preserve">iability which stretches decades into the future and which ultimately requires a cost-effective and sustainable investment approach.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LPP I provides investment management services which fulfil the fiduciary duties owed by trustees to fund members, employer organisations and wider stakeholders. Our investment approach and the business processes which put it into operation prioritise high </w:t>
      </w:r>
      <w:r w:rsidRPr="00E04E31">
        <w:rPr>
          <w:rFonts w:ascii="Verdana" w:hAnsi="Verdana" w:cs="Arial"/>
          <w:bCs/>
          <w:sz w:val="20"/>
          <w:szCs w:val="20"/>
        </w:rPr>
        <w:t xml:space="preserve">standards of stewardship, clear accountability, striving for best practice and compliance with regulatory standards.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LPP I is regulated by the Financial Conduct Authority, our services are fully aligned with the principles of the UK Stewardship Code and </w:t>
      </w:r>
      <w:r w:rsidRPr="00E04E31">
        <w:rPr>
          <w:rFonts w:ascii="Verdana" w:hAnsi="Verdana" w:cs="Arial"/>
          <w:bCs/>
          <w:sz w:val="20"/>
          <w:szCs w:val="20"/>
        </w:rPr>
        <w:t xml:space="preserve">our approach to Responsible Investment is designed to deliver against the commitments of clients who are signatories to the UN-backed Principles of Responsible Investment.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pStyle w:val="treb"/>
        <w:numPr>
          <w:ilvl w:val="0"/>
          <w:numId w:val="0"/>
        </w:numPr>
        <w:spacing w:after="0"/>
        <w:rPr>
          <w:rFonts w:ascii="Verdana" w:hAnsi="Verdana"/>
          <w:i/>
          <w:sz w:val="20"/>
          <w:szCs w:val="20"/>
        </w:rPr>
      </w:pPr>
      <w:r w:rsidRPr="00E04E31">
        <w:rPr>
          <w:rFonts w:ascii="Verdana" w:hAnsi="Verdana"/>
          <w:i/>
          <w:color w:val="54BBAB" w:themeColor="text2"/>
          <w:sz w:val="20"/>
          <w:szCs w:val="20"/>
        </w:rPr>
        <w:t>We are Commercial and Sustainable</w:t>
      </w:r>
      <w:r w:rsidRPr="00E04E31">
        <w:rPr>
          <w:rFonts w:ascii="Verdana" w:hAnsi="Verdana"/>
          <w:i/>
          <w:sz w:val="20"/>
          <w:szCs w:val="20"/>
        </w:rPr>
        <w:t xml:space="preserve">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Protecting and enhancing the value of our clie</w:t>
      </w:r>
      <w:r w:rsidRPr="00E04E31">
        <w:rPr>
          <w:rFonts w:ascii="Verdana" w:hAnsi="Verdana" w:cs="Arial"/>
          <w:bCs/>
          <w:sz w:val="20"/>
          <w:szCs w:val="20"/>
        </w:rPr>
        <w:t xml:space="preserve">nts' investments involves selecting and managing assets in order to generate superior returns which build value over the long term.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LPP I takes a resolutely commercial approach to asset selection and ongoing asset ownership. Our approach is built around </w:t>
      </w:r>
      <w:r w:rsidRPr="00E04E31">
        <w:rPr>
          <w:rFonts w:ascii="Verdana" w:hAnsi="Verdana" w:cs="Arial"/>
          <w:bCs/>
          <w:sz w:val="20"/>
          <w:szCs w:val="20"/>
        </w:rPr>
        <w:t xml:space="preserve">the detailed analysis of investment risks and opportunities and an up-to-date understanding of context.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Unless explicit sectoral exclusions are demanded by clients (an exceptional situation </w:t>
      </w:r>
      <w:r>
        <w:rPr>
          <w:rFonts w:ascii="Verdana" w:hAnsi="Verdana" w:cs="Arial"/>
          <w:bCs/>
          <w:sz w:val="20"/>
          <w:szCs w:val="20"/>
        </w:rPr>
        <w:t xml:space="preserve">requiring </w:t>
      </w:r>
      <w:r w:rsidRPr="00E04E31">
        <w:rPr>
          <w:rFonts w:ascii="Verdana" w:hAnsi="Verdana" w:cs="Arial"/>
          <w:bCs/>
          <w:sz w:val="20"/>
          <w:szCs w:val="20"/>
        </w:rPr>
        <w:t>specific portfolio arrangements) we do not artificiall</w:t>
      </w:r>
      <w:r w:rsidRPr="00E04E31">
        <w:rPr>
          <w:rFonts w:ascii="Verdana" w:hAnsi="Verdana" w:cs="Arial"/>
          <w:bCs/>
          <w:sz w:val="20"/>
          <w:szCs w:val="20"/>
        </w:rPr>
        <w:t>y narrow the breadth of the investment universe from which we consider potential investments.  Opportunities are identified and evaluated on their individual merits and on the strength of their contribution to the investment strategy for each asset class (</w:t>
      </w:r>
      <w:r w:rsidRPr="00E04E31">
        <w:rPr>
          <w:rFonts w:ascii="Verdana" w:hAnsi="Verdana" w:cs="Arial"/>
          <w:bCs/>
          <w:sz w:val="20"/>
          <w:szCs w:val="20"/>
        </w:rPr>
        <w:t xml:space="preserve">including their role in providing investment return and diversification benefits). </w:t>
      </w:r>
    </w:p>
    <w:p w:rsidR="00E04E31" w:rsidRPr="00E04E31" w:rsidRDefault="00B34F19" w:rsidP="00E04E31">
      <w:pPr>
        <w:spacing w:after="0"/>
        <w:jc w:val="both"/>
        <w:rPr>
          <w:rFonts w:ascii="Verdana" w:hAnsi="Verdana" w:cs="Arial"/>
          <w:bCs/>
          <w:sz w:val="20"/>
          <w:szCs w:val="20"/>
        </w:rPr>
      </w:pPr>
    </w:p>
    <w:p w:rsidR="00983099" w:rsidRPr="00983099" w:rsidRDefault="00B34F19" w:rsidP="00983099">
      <w:pPr>
        <w:jc w:val="both"/>
        <w:rPr>
          <w:rFonts w:ascii="Verdana" w:hAnsi="Verdana"/>
          <w:sz w:val="20"/>
          <w:szCs w:val="20"/>
        </w:rPr>
      </w:pPr>
      <w:r w:rsidRPr="00983099">
        <w:rPr>
          <w:rFonts w:ascii="Verdana" w:hAnsi="Verdana"/>
          <w:sz w:val="20"/>
          <w:szCs w:val="20"/>
        </w:rPr>
        <w:t xml:space="preserve">We ensure that investment risks (including those surrounding controversial business sectors) are routinely evaluated within our investment decision-making and ongoing </w:t>
      </w:r>
      <w:r w:rsidRPr="00983099">
        <w:rPr>
          <w:rFonts w:ascii="Verdana" w:hAnsi="Verdana"/>
          <w:sz w:val="20"/>
          <w:szCs w:val="20"/>
        </w:rPr>
        <w:lastRenderedPageBreak/>
        <w:t>port</w:t>
      </w:r>
      <w:r w:rsidRPr="00983099">
        <w:rPr>
          <w:rFonts w:ascii="Verdana" w:hAnsi="Verdana"/>
          <w:sz w:val="20"/>
          <w:szCs w:val="20"/>
        </w:rPr>
        <w:t xml:space="preserve">folio management activities which consider risk within a long-term investment horizon. The assessment of investments based on their relative ranking against core requirements is an effective alternative to applying exclusionary screening. </w:t>
      </w:r>
    </w:p>
    <w:p w:rsidR="00B22E56" w:rsidRDefault="00B34F19" w:rsidP="00E04E31">
      <w:pPr>
        <w:pStyle w:val="treb"/>
        <w:numPr>
          <w:ilvl w:val="0"/>
          <w:numId w:val="0"/>
        </w:numPr>
        <w:spacing w:after="0"/>
        <w:rPr>
          <w:rFonts w:ascii="Verdana" w:hAnsi="Verdana"/>
          <w:i/>
          <w:color w:val="54BBAB" w:themeColor="text2"/>
          <w:sz w:val="20"/>
          <w:szCs w:val="20"/>
        </w:rPr>
      </w:pPr>
    </w:p>
    <w:p w:rsidR="00E04E31" w:rsidRPr="00E04E31" w:rsidRDefault="00B34F19" w:rsidP="00E04E31">
      <w:pPr>
        <w:pStyle w:val="treb"/>
        <w:numPr>
          <w:ilvl w:val="0"/>
          <w:numId w:val="0"/>
        </w:numPr>
        <w:spacing w:after="0"/>
        <w:rPr>
          <w:rFonts w:ascii="Verdana" w:hAnsi="Verdana"/>
          <w:i/>
          <w:color w:val="54BBAB" w:themeColor="text2"/>
          <w:sz w:val="20"/>
          <w:szCs w:val="20"/>
        </w:rPr>
      </w:pPr>
      <w:r w:rsidRPr="00E04E31">
        <w:rPr>
          <w:rFonts w:ascii="Verdana" w:hAnsi="Verdana"/>
          <w:i/>
          <w:color w:val="54BBAB" w:themeColor="text2"/>
          <w:sz w:val="20"/>
          <w:szCs w:val="20"/>
        </w:rPr>
        <w:t xml:space="preserve">We are Diligent in Asset Selection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The acquisition of suitable assets on appropriate terms is a critical investment discipline. Sourcing suitable investments involves in-depth insight from investment managers with expert knowledge across different sector</w:t>
      </w:r>
      <w:r w:rsidRPr="00E04E31">
        <w:rPr>
          <w:rFonts w:ascii="Verdana" w:hAnsi="Verdana" w:cs="Arial"/>
          <w:bCs/>
          <w:sz w:val="20"/>
          <w:szCs w:val="20"/>
        </w:rPr>
        <w:t>s. Finding opportunities which fit our clients' investment strategies and meet core investment objectives involves a robust and detailed process of ongoing research and evaluation.</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Our due diligence process routinely incorporates the consideration of rele</w:t>
      </w:r>
      <w:r w:rsidRPr="00E04E31">
        <w:rPr>
          <w:rFonts w:ascii="Verdana" w:hAnsi="Verdana" w:cs="Arial"/>
          <w:bCs/>
          <w:sz w:val="20"/>
          <w:szCs w:val="20"/>
        </w:rPr>
        <w:t>vant ESG factors. Wider matters identified as likely to impact the value or sustainability of an investment within its prospective period of ownership are incorporated into investment decision-making as risks or opportunities with potential consequences fo</w:t>
      </w:r>
      <w:r w:rsidRPr="00E04E31">
        <w:rPr>
          <w:rFonts w:ascii="Verdana" w:hAnsi="Verdana" w:cs="Arial"/>
          <w:bCs/>
          <w:sz w:val="20"/>
          <w:szCs w:val="20"/>
        </w:rPr>
        <w:t>r value growth.</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Our in-house standards for investment due diligence extend to the external managers we select to work with us. We consider existing experience and the strength of commitment to responsible investment practices as part of manager selection </w:t>
      </w:r>
      <w:r w:rsidRPr="00E04E31">
        <w:rPr>
          <w:rFonts w:ascii="Verdana" w:hAnsi="Verdana" w:cs="Arial"/>
          <w:bCs/>
          <w:sz w:val="20"/>
          <w:szCs w:val="20"/>
        </w:rPr>
        <w:t xml:space="preserve">and within our ongoing monitoring of activity and performance.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pStyle w:val="treb"/>
        <w:numPr>
          <w:ilvl w:val="0"/>
          <w:numId w:val="0"/>
        </w:numPr>
        <w:spacing w:after="0"/>
        <w:rPr>
          <w:rFonts w:ascii="Verdana" w:hAnsi="Verdana"/>
          <w:i/>
          <w:color w:val="54BBAB" w:themeColor="text2"/>
          <w:sz w:val="20"/>
          <w:szCs w:val="20"/>
        </w:rPr>
      </w:pPr>
      <w:r w:rsidRPr="00E04E31">
        <w:rPr>
          <w:rFonts w:ascii="Verdana" w:hAnsi="Verdana"/>
          <w:i/>
          <w:color w:val="54BBAB" w:themeColor="text2"/>
          <w:sz w:val="20"/>
          <w:szCs w:val="20"/>
        </w:rPr>
        <w:t>We are Active in Ownership</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A long-term investment horizon and the expectation of an extended period of asset ownership incentivises active ownership as a continuing route for protecting and </w:t>
      </w:r>
      <w:r w:rsidRPr="00E04E31">
        <w:rPr>
          <w:rFonts w:ascii="Verdana" w:hAnsi="Verdana" w:cs="Arial"/>
          <w:bCs/>
          <w:sz w:val="20"/>
          <w:szCs w:val="20"/>
        </w:rPr>
        <w:t>adding value for investors. LPP I actively exercises the ownership rights conveyed by the assets under its management on behalf of clients as beneficial owners.</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LPP I seeks to encourage high standards of corporate governance in the enterprises we invest in and to exert a positive influence in favour of transparent and sustainable management behaviour in the long-term best interests of investors.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Routes for exerc</w:t>
      </w:r>
      <w:r w:rsidRPr="00E04E31">
        <w:rPr>
          <w:rFonts w:ascii="Verdana" w:hAnsi="Verdana" w:cs="Arial"/>
          <w:bCs/>
          <w:sz w:val="20"/>
          <w:szCs w:val="20"/>
        </w:rPr>
        <w:t>ising ownership influence vary according to the asset class and the investment context. Our activities routinely include direct representation on company boards, shareholder voting and engagement, representation on investor &amp; advisory committees and partic</w:t>
      </w:r>
      <w:r w:rsidRPr="00E04E31">
        <w:rPr>
          <w:rFonts w:ascii="Verdana" w:hAnsi="Verdana" w:cs="Arial"/>
          <w:bCs/>
          <w:sz w:val="20"/>
          <w:szCs w:val="20"/>
        </w:rPr>
        <w:t>ipation in partnerships and collaborations with other investors. The objective of our ownership activities is to encourage circumstances which support long-term term value creation and promote the identification and management of the risks faced by investo</w:t>
      </w:r>
      <w:r w:rsidRPr="00E04E31">
        <w:rPr>
          <w:rFonts w:ascii="Verdana" w:hAnsi="Verdana" w:cs="Arial"/>
          <w:bCs/>
          <w:sz w:val="20"/>
          <w:szCs w:val="20"/>
        </w:rPr>
        <w:t>rs.</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In the case of its investments in listed equities, LPP I exercises shareholder voting rights to promote sustainable well run companies and votes at every shareholder meeting it is entitled to participate in globally.  Voting execution is managed in co</w:t>
      </w:r>
      <w:r w:rsidRPr="00E04E31">
        <w:rPr>
          <w:rFonts w:ascii="Verdana" w:hAnsi="Verdana" w:cs="Arial"/>
          <w:bCs/>
          <w:sz w:val="20"/>
          <w:szCs w:val="20"/>
        </w:rPr>
        <w:t xml:space="preserve">llaboration with an external provider of proxy voting and governance services and is in accordance with an agreed voting policy.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Our voting approach seeks a consistent stance on a number of core themes which reflect the importance of; </w:t>
      </w:r>
    </w:p>
    <w:p w:rsidR="00E04E31" w:rsidRPr="00E04E31" w:rsidRDefault="00B34F19" w:rsidP="00E04E31">
      <w:pPr>
        <w:spacing w:after="0"/>
        <w:jc w:val="both"/>
        <w:rPr>
          <w:rFonts w:ascii="Verdana" w:hAnsi="Verdana" w:cs="Arial"/>
          <w:bCs/>
          <w:sz w:val="20"/>
          <w:szCs w:val="20"/>
        </w:rPr>
      </w:pPr>
    </w:p>
    <w:p w:rsidR="00E04E31" w:rsidRPr="00E04E31" w:rsidRDefault="00B34F19" w:rsidP="009C22C5">
      <w:pPr>
        <w:spacing w:after="0"/>
        <w:ind w:left="426" w:hanging="426"/>
        <w:jc w:val="both"/>
        <w:rPr>
          <w:rFonts w:ascii="Verdana" w:hAnsi="Verdana" w:cs="Arial"/>
          <w:bCs/>
          <w:sz w:val="20"/>
          <w:szCs w:val="20"/>
        </w:rPr>
      </w:pPr>
      <w:r w:rsidRPr="00E04E31">
        <w:rPr>
          <w:rFonts w:ascii="Verdana" w:hAnsi="Verdana" w:cs="Arial"/>
          <w:bCs/>
          <w:sz w:val="20"/>
          <w:szCs w:val="20"/>
        </w:rPr>
        <w:lastRenderedPageBreak/>
        <w:t>•</w:t>
      </w:r>
      <w:r w:rsidRPr="00E04E31">
        <w:rPr>
          <w:rFonts w:ascii="Verdana" w:hAnsi="Verdana" w:cs="Arial"/>
          <w:bCs/>
          <w:sz w:val="20"/>
          <w:szCs w:val="20"/>
        </w:rPr>
        <w:tab/>
        <w:t>Investors havin</w:t>
      </w:r>
      <w:r w:rsidRPr="00E04E31">
        <w:rPr>
          <w:rFonts w:ascii="Verdana" w:hAnsi="Verdana" w:cs="Arial"/>
          <w:bCs/>
          <w:sz w:val="20"/>
          <w:szCs w:val="20"/>
        </w:rPr>
        <w:t xml:space="preserve">g access to comprehensive, up to date and accessible information giving clear insight into </w:t>
      </w:r>
      <w:r>
        <w:rPr>
          <w:rFonts w:ascii="Verdana" w:hAnsi="Verdana" w:cs="Arial"/>
          <w:bCs/>
          <w:sz w:val="20"/>
          <w:szCs w:val="20"/>
        </w:rPr>
        <w:t>a</w:t>
      </w:r>
      <w:r w:rsidRPr="00E04E31">
        <w:rPr>
          <w:rFonts w:ascii="Verdana" w:hAnsi="Verdana" w:cs="Arial"/>
          <w:bCs/>
          <w:sz w:val="20"/>
          <w:szCs w:val="20"/>
        </w:rPr>
        <w:t xml:space="preserve"> company, its culture and the way in which it does business;</w:t>
      </w:r>
    </w:p>
    <w:p w:rsidR="00E04E31" w:rsidRPr="00E04E31" w:rsidRDefault="00B34F19" w:rsidP="009C22C5">
      <w:pPr>
        <w:spacing w:after="0"/>
        <w:ind w:left="426" w:hanging="426"/>
        <w:jc w:val="both"/>
        <w:rPr>
          <w:rFonts w:ascii="Verdana" w:hAnsi="Verdana" w:cs="Arial"/>
          <w:bCs/>
          <w:sz w:val="20"/>
          <w:szCs w:val="20"/>
        </w:rPr>
      </w:pPr>
      <w:r w:rsidRPr="00E04E31">
        <w:rPr>
          <w:rFonts w:ascii="Verdana" w:hAnsi="Verdana" w:cs="Arial"/>
          <w:bCs/>
          <w:sz w:val="20"/>
          <w:szCs w:val="20"/>
        </w:rPr>
        <w:t>•</w:t>
      </w:r>
      <w:r w:rsidRPr="00E04E31">
        <w:rPr>
          <w:rFonts w:ascii="Verdana" w:hAnsi="Verdana" w:cs="Arial"/>
          <w:bCs/>
          <w:sz w:val="20"/>
          <w:szCs w:val="20"/>
        </w:rPr>
        <w:tab/>
        <w:t>A sufficiently diverse board with adequate representation from independent non-executive members;</w:t>
      </w:r>
    </w:p>
    <w:p w:rsidR="00E04E31" w:rsidRPr="00E04E31" w:rsidRDefault="00B34F19" w:rsidP="009C22C5">
      <w:pPr>
        <w:spacing w:after="0"/>
        <w:ind w:left="426" w:hanging="426"/>
        <w:jc w:val="both"/>
        <w:rPr>
          <w:rFonts w:ascii="Verdana" w:hAnsi="Verdana" w:cs="Arial"/>
          <w:bCs/>
          <w:sz w:val="20"/>
          <w:szCs w:val="20"/>
        </w:rPr>
      </w:pPr>
      <w:r w:rsidRPr="00E04E31">
        <w:rPr>
          <w:rFonts w:ascii="Verdana" w:hAnsi="Verdana" w:cs="Arial"/>
          <w:bCs/>
          <w:sz w:val="20"/>
          <w:szCs w:val="20"/>
        </w:rPr>
        <w:t>•</w:t>
      </w:r>
      <w:r w:rsidRPr="00E04E31">
        <w:rPr>
          <w:rFonts w:ascii="Verdana" w:hAnsi="Verdana" w:cs="Arial"/>
          <w:bCs/>
          <w:sz w:val="20"/>
          <w:szCs w:val="20"/>
        </w:rPr>
        <w:tab/>
        <w:t>E</w:t>
      </w:r>
      <w:r w:rsidRPr="00E04E31">
        <w:rPr>
          <w:rFonts w:ascii="Verdana" w:hAnsi="Verdana" w:cs="Arial"/>
          <w:bCs/>
          <w:sz w:val="20"/>
          <w:szCs w:val="20"/>
        </w:rPr>
        <w:t xml:space="preserve">xecutive remuneration arrangements which incentivise strong performance over the long-term term by applying measures of value creation aligned with shareholder interests; </w:t>
      </w:r>
    </w:p>
    <w:p w:rsidR="00E04E31" w:rsidRPr="00E04E31" w:rsidRDefault="00B34F19" w:rsidP="009C22C5">
      <w:pPr>
        <w:spacing w:after="0"/>
        <w:ind w:left="426" w:hanging="426"/>
        <w:jc w:val="both"/>
        <w:rPr>
          <w:rFonts w:ascii="Verdana" w:hAnsi="Verdana" w:cs="Arial"/>
          <w:bCs/>
          <w:sz w:val="20"/>
          <w:szCs w:val="20"/>
        </w:rPr>
      </w:pPr>
      <w:r w:rsidRPr="00E04E31">
        <w:rPr>
          <w:rFonts w:ascii="Verdana" w:hAnsi="Verdana" w:cs="Arial"/>
          <w:bCs/>
          <w:sz w:val="20"/>
          <w:szCs w:val="20"/>
        </w:rPr>
        <w:t>•</w:t>
      </w:r>
      <w:r w:rsidRPr="00E04E31">
        <w:rPr>
          <w:rFonts w:ascii="Verdana" w:hAnsi="Verdana" w:cs="Arial"/>
          <w:bCs/>
          <w:sz w:val="20"/>
          <w:szCs w:val="20"/>
        </w:rPr>
        <w:tab/>
        <w:t>A sustainable long-term term business model supported by effective internal contro</w:t>
      </w:r>
      <w:r w:rsidRPr="00E04E31">
        <w:rPr>
          <w:rFonts w:ascii="Verdana" w:hAnsi="Verdana" w:cs="Arial"/>
          <w:bCs/>
          <w:sz w:val="20"/>
          <w:szCs w:val="20"/>
        </w:rPr>
        <w:t xml:space="preserve">ls and strong risk management capabilities; and </w:t>
      </w:r>
    </w:p>
    <w:p w:rsidR="00E04E31" w:rsidRPr="00E04E31" w:rsidRDefault="00B34F19" w:rsidP="009C22C5">
      <w:pPr>
        <w:spacing w:after="0"/>
        <w:ind w:left="426" w:hanging="426"/>
        <w:jc w:val="both"/>
        <w:rPr>
          <w:rFonts w:ascii="Verdana" w:hAnsi="Verdana" w:cs="Arial"/>
          <w:bCs/>
          <w:sz w:val="20"/>
          <w:szCs w:val="20"/>
        </w:rPr>
      </w:pPr>
      <w:r w:rsidRPr="00E04E31">
        <w:rPr>
          <w:rFonts w:ascii="Verdana" w:hAnsi="Verdana" w:cs="Arial"/>
          <w:bCs/>
          <w:sz w:val="20"/>
          <w:szCs w:val="20"/>
        </w:rPr>
        <w:t>•</w:t>
      </w:r>
      <w:r w:rsidRPr="00E04E31">
        <w:rPr>
          <w:rFonts w:ascii="Verdana" w:hAnsi="Verdana" w:cs="Arial"/>
          <w:bCs/>
          <w:sz w:val="20"/>
          <w:szCs w:val="20"/>
        </w:rPr>
        <w:tab/>
        <w:t>Recognition, evaluation and adaptation to the risks and opportunities flowing from systemic challenges including (but not limited to) climate change and changes in public perception which could impact prof</w:t>
      </w:r>
      <w:r w:rsidRPr="00E04E31">
        <w:rPr>
          <w:rFonts w:ascii="Verdana" w:hAnsi="Verdana" w:cs="Arial"/>
          <w:bCs/>
          <w:sz w:val="20"/>
          <w:szCs w:val="20"/>
        </w:rPr>
        <w:t>itability.</w:t>
      </w:r>
    </w:p>
    <w:p w:rsidR="00E04E31" w:rsidRPr="00E04E31" w:rsidRDefault="00B34F19" w:rsidP="009C22C5">
      <w:pPr>
        <w:spacing w:after="0"/>
        <w:ind w:left="426" w:hanging="426"/>
        <w:jc w:val="both"/>
        <w:rPr>
          <w:rFonts w:ascii="Verdana" w:hAnsi="Verdana" w:cs="Arial"/>
          <w:bCs/>
          <w:sz w:val="20"/>
          <w:szCs w:val="20"/>
        </w:rPr>
      </w:pPr>
    </w:p>
    <w:p w:rsidR="00E04E31" w:rsidRPr="00E04E31" w:rsidRDefault="00B34F19" w:rsidP="00E04E31">
      <w:pPr>
        <w:pStyle w:val="treb"/>
        <w:numPr>
          <w:ilvl w:val="0"/>
          <w:numId w:val="0"/>
        </w:numPr>
        <w:spacing w:after="0"/>
        <w:rPr>
          <w:rFonts w:ascii="Verdana" w:hAnsi="Verdana"/>
          <w:i/>
          <w:color w:val="54BBAB" w:themeColor="text2"/>
          <w:sz w:val="20"/>
          <w:szCs w:val="20"/>
        </w:rPr>
      </w:pPr>
      <w:r w:rsidRPr="00E04E31">
        <w:rPr>
          <w:rFonts w:ascii="Verdana" w:hAnsi="Verdana"/>
          <w:i/>
          <w:color w:val="54BBAB" w:themeColor="text2"/>
          <w:sz w:val="20"/>
          <w:szCs w:val="20"/>
        </w:rPr>
        <w:t>We are Committed to Collaboration</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LPP I is active within a range of wider organisations which exist to represent the collective interests of investors.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We seek to actively support initiatives which magnify the voice and strengthen the positi</w:t>
      </w:r>
      <w:r w:rsidRPr="00E04E31">
        <w:rPr>
          <w:rFonts w:ascii="Verdana" w:hAnsi="Verdana" w:cs="Arial"/>
          <w:bCs/>
          <w:sz w:val="20"/>
          <w:szCs w:val="20"/>
        </w:rPr>
        <w:t xml:space="preserve">ve influence of investors through assisting them to identify common concerns, share resources, work together and achieve more through co-ordinated collective effort.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Our involvement in representative organisations including the Local Authority Pension Fu</w:t>
      </w:r>
      <w:r w:rsidRPr="00E04E31">
        <w:rPr>
          <w:rFonts w:ascii="Verdana" w:hAnsi="Verdana" w:cs="Arial"/>
          <w:bCs/>
          <w:sz w:val="20"/>
          <w:szCs w:val="20"/>
        </w:rPr>
        <w:t xml:space="preserve">nd Forum (LAPFF) and the Pensions and Lifetime Savings Association (PLSA) enables us to share ideas, learn from others and identify best practice as part of continuing to refine our approach, target our efforts and develop our capabilities over time.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pStyle w:val="treb"/>
        <w:numPr>
          <w:ilvl w:val="0"/>
          <w:numId w:val="0"/>
        </w:numPr>
        <w:spacing w:after="0"/>
        <w:rPr>
          <w:rFonts w:ascii="Verdana" w:hAnsi="Verdana"/>
          <w:i/>
          <w:color w:val="54BBAB" w:themeColor="text2"/>
          <w:sz w:val="20"/>
          <w:szCs w:val="20"/>
        </w:rPr>
      </w:pPr>
      <w:r w:rsidRPr="00E04E31">
        <w:rPr>
          <w:rFonts w:ascii="Verdana" w:hAnsi="Verdana"/>
          <w:i/>
          <w:color w:val="54BBAB" w:themeColor="text2"/>
          <w:sz w:val="20"/>
          <w:szCs w:val="20"/>
        </w:rPr>
        <w:t xml:space="preserve">We </w:t>
      </w:r>
      <w:r w:rsidRPr="00E04E31">
        <w:rPr>
          <w:rFonts w:ascii="Verdana" w:hAnsi="Verdana"/>
          <w:i/>
          <w:color w:val="54BBAB" w:themeColor="text2"/>
          <w:sz w:val="20"/>
          <w:szCs w:val="20"/>
        </w:rPr>
        <w:t>are Continuously Reviewing and Improving</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We recognise that Responsible Investment is a discipline in a process of continual evolution. The local, national and international norms influencing what is desirable and acceptable are continuously changing in re</w:t>
      </w:r>
      <w:r w:rsidRPr="00E04E31">
        <w:rPr>
          <w:rFonts w:ascii="Verdana" w:hAnsi="Verdana" w:cs="Arial"/>
          <w:bCs/>
          <w:sz w:val="20"/>
          <w:szCs w:val="20"/>
        </w:rPr>
        <w:t xml:space="preserve">sponse to unfolding events.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Openness to new approaches and new standards, whether these flow from legislation or form part of self-regulation, are central to understanding and demonstrating best practice and maximising what can be achieved.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Our </w:t>
      </w:r>
      <w:r w:rsidRPr="00E04E31">
        <w:rPr>
          <w:rFonts w:ascii="Verdana" w:hAnsi="Verdana" w:cs="Arial"/>
          <w:bCs/>
          <w:sz w:val="20"/>
          <w:szCs w:val="20"/>
        </w:rPr>
        <w:t>internal governance arrangements incorporate oversight from a Stewardship Committee chaired by the Chief Investment Officer which meets quarterly to review responsible investment matters and discuss core stewardship developments and activities.</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r w:rsidRPr="00E04E31">
        <w:rPr>
          <w:rFonts w:ascii="Verdana" w:hAnsi="Verdana" w:cs="Arial"/>
          <w:bCs/>
          <w:sz w:val="20"/>
          <w:szCs w:val="20"/>
        </w:rPr>
        <w:t xml:space="preserve">To ensure </w:t>
      </w:r>
      <w:r w:rsidRPr="00E04E31">
        <w:rPr>
          <w:rFonts w:ascii="Verdana" w:hAnsi="Verdana" w:cs="Arial"/>
          <w:bCs/>
          <w:sz w:val="20"/>
          <w:szCs w:val="20"/>
        </w:rPr>
        <w:t xml:space="preserve">the continuing effectiveness of our approach to putting Responsible Investment beliefs into practice the Stewardship Committee will review this Responsible Investment Policy and the activities flowing from it on an annual basis. </w:t>
      </w: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p>
    <w:p w:rsidR="00E04E31" w:rsidRPr="00E04E31" w:rsidRDefault="00B34F19" w:rsidP="00E04E31">
      <w:pPr>
        <w:spacing w:after="0"/>
        <w:jc w:val="both"/>
        <w:rPr>
          <w:rFonts w:ascii="Verdana" w:hAnsi="Verdana" w:cs="Arial"/>
          <w:bCs/>
          <w:sz w:val="20"/>
          <w:szCs w:val="20"/>
        </w:rPr>
      </w:pPr>
    </w:p>
    <w:p w:rsidR="00B23C16" w:rsidRDefault="00B34F19" w:rsidP="00E04E31">
      <w:pPr>
        <w:spacing w:after="0"/>
        <w:jc w:val="both"/>
        <w:rPr>
          <w:rFonts w:ascii="Verdana" w:hAnsi="Verdana" w:cs="Arial"/>
          <w:bCs/>
          <w:sz w:val="20"/>
          <w:szCs w:val="20"/>
        </w:rPr>
      </w:pPr>
    </w:p>
    <w:p w:rsidR="00E04E31" w:rsidRDefault="00B34F19" w:rsidP="00E04E31">
      <w:pPr>
        <w:spacing w:after="0"/>
        <w:jc w:val="both"/>
        <w:rPr>
          <w:rFonts w:ascii="Verdana" w:hAnsi="Verdana" w:cs="Arial"/>
          <w:bCs/>
          <w:sz w:val="20"/>
          <w:szCs w:val="20"/>
        </w:rPr>
      </w:pPr>
    </w:p>
    <w:p w:rsidR="00E04E31" w:rsidRDefault="00B34F19" w:rsidP="00E04E31">
      <w:pPr>
        <w:spacing w:after="0"/>
        <w:jc w:val="both"/>
        <w:rPr>
          <w:rFonts w:ascii="Verdana" w:hAnsi="Verdana" w:cs="Arial"/>
          <w:bCs/>
          <w:sz w:val="20"/>
          <w:szCs w:val="20"/>
        </w:rPr>
      </w:pPr>
    </w:p>
    <w:p w:rsidR="00604799" w:rsidRPr="00E04E31" w:rsidRDefault="00B34F19" w:rsidP="00E04E31">
      <w:pPr>
        <w:spacing w:after="0"/>
        <w:rPr>
          <w:rFonts w:ascii="Verdana" w:hAnsi="Verdana"/>
          <w:sz w:val="20"/>
          <w:szCs w:val="20"/>
        </w:rPr>
      </w:pPr>
    </w:p>
    <w:tbl>
      <w:tblPr>
        <w:tblpPr w:leftFromText="180" w:rightFromText="180" w:bottomFromText="160" w:vertAnchor="text" w:horzAnchor="margin" w:tblpXSpec="center" w:tblpY="107"/>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095"/>
        <w:gridCol w:w="1732"/>
        <w:gridCol w:w="2095"/>
        <w:gridCol w:w="1418"/>
        <w:gridCol w:w="1377"/>
      </w:tblGrid>
      <w:tr w:rsidR="00767CF6" w:rsidTr="009C22C5">
        <w:trPr>
          <w:trHeight w:val="300"/>
        </w:trPr>
        <w:tc>
          <w:tcPr>
            <w:tcW w:w="9705" w:type="dxa"/>
            <w:gridSpan w:val="6"/>
            <w:tcBorders>
              <w:top w:val="single" w:sz="4" w:space="0" w:color="auto"/>
              <w:left w:val="single" w:sz="4" w:space="0" w:color="auto"/>
              <w:bottom w:val="single" w:sz="4" w:space="0" w:color="auto"/>
              <w:right w:val="single" w:sz="4" w:space="0" w:color="auto"/>
            </w:tcBorders>
            <w:shd w:val="clear" w:color="auto" w:fill="C0C0C0"/>
            <w:hideMark/>
          </w:tcPr>
          <w:p w:rsidR="00604799" w:rsidRPr="00E04E31" w:rsidRDefault="00B34F19" w:rsidP="00E04E31">
            <w:pPr>
              <w:spacing w:after="0" w:line="256" w:lineRule="auto"/>
              <w:rPr>
                <w:rFonts w:ascii="Verdana" w:hAnsi="Verdana" w:cs="Times New Roman"/>
                <w:b/>
                <w:kern w:val="28"/>
                <w:sz w:val="20"/>
                <w:szCs w:val="20"/>
              </w:rPr>
            </w:pPr>
            <w:r w:rsidRPr="00E04E31">
              <w:rPr>
                <w:rFonts w:ascii="Verdana" w:hAnsi="Verdana" w:cs="Times New Roman"/>
                <w:b/>
                <w:kern w:val="28"/>
                <w:sz w:val="20"/>
                <w:szCs w:val="20"/>
              </w:rPr>
              <w:t xml:space="preserve">Document title: </w:t>
            </w:r>
            <w:r>
              <w:rPr>
                <w:rFonts w:ascii="Verdana" w:hAnsi="Verdana" w:cs="Times New Roman"/>
                <w:b/>
                <w:kern w:val="28"/>
                <w:sz w:val="20"/>
                <w:szCs w:val="20"/>
              </w:rPr>
              <w:t>Responsible Investment</w:t>
            </w:r>
            <w:r w:rsidRPr="00E04E31">
              <w:rPr>
                <w:rFonts w:ascii="Verdana" w:hAnsi="Verdana" w:cs="Times New Roman"/>
                <w:b/>
                <w:kern w:val="28"/>
                <w:sz w:val="20"/>
                <w:szCs w:val="20"/>
              </w:rPr>
              <w:t xml:space="preserve"> Policy</w:t>
            </w:r>
          </w:p>
        </w:tc>
      </w:tr>
      <w:tr w:rsidR="00767CF6" w:rsidTr="007A2FFE">
        <w:trPr>
          <w:trHeight w:val="300"/>
        </w:trPr>
        <w:tc>
          <w:tcPr>
            <w:tcW w:w="988"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Version No</w:t>
            </w:r>
          </w:p>
        </w:tc>
        <w:tc>
          <w:tcPr>
            <w:tcW w:w="2095"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Description of change</w:t>
            </w:r>
          </w:p>
        </w:tc>
        <w:tc>
          <w:tcPr>
            <w:tcW w:w="1732"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Owner</w:t>
            </w:r>
          </w:p>
        </w:tc>
        <w:tc>
          <w:tcPr>
            <w:tcW w:w="2095"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Approval</w:t>
            </w:r>
          </w:p>
        </w:tc>
        <w:tc>
          <w:tcPr>
            <w:tcW w:w="1418"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Date of Approval</w:t>
            </w:r>
          </w:p>
        </w:tc>
        <w:tc>
          <w:tcPr>
            <w:tcW w:w="1377"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Date of Issue</w:t>
            </w:r>
          </w:p>
        </w:tc>
      </w:tr>
      <w:tr w:rsidR="00767CF6" w:rsidTr="007A2FFE">
        <w:trPr>
          <w:trHeight w:val="300"/>
        </w:trPr>
        <w:tc>
          <w:tcPr>
            <w:tcW w:w="988"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r w:rsidRPr="00E04E31">
              <w:rPr>
                <w:rFonts w:ascii="Verdana" w:hAnsi="Verdana" w:cs="Times New Roman"/>
                <w:kern w:val="28"/>
                <w:sz w:val="20"/>
                <w:szCs w:val="20"/>
              </w:rPr>
              <w:t>1.0</w:t>
            </w:r>
          </w:p>
        </w:tc>
        <w:tc>
          <w:tcPr>
            <w:tcW w:w="2095"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sz w:val="20"/>
                <w:szCs w:val="20"/>
              </w:rPr>
            </w:pPr>
            <w:r w:rsidRPr="00E04E31">
              <w:rPr>
                <w:rFonts w:ascii="Verdana" w:hAnsi="Verdana"/>
                <w:sz w:val="20"/>
                <w:szCs w:val="20"/>
              </w:rPr>
              <w:t>First version</w:t>
            </w:r>
          </w:p>
        </w:tc>
        <w:tc>
          <w:tcPr>
            <w:tcW w:w="1732"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sz w:val="20"/>
                <w:szCs w:val="20"/>
              </w:rPr>
            </w:pPr>
            <w:r>
              <w:rPr>
                <w:rFonts w:ascii="Verdana" w:hAnsi="Verdana"/>
                <w:sz w:val="20"/>
                <w:szCs w:val="20"/>
              </w:rPr>
              <w:t>Responsible Investment Officer</w:t>
            </w:r>
            <w:r w:rsidRPr="00E04E31">
              <w:rPr>
                <w:rFonts w:ascii="Verdana" w:hAnsi="Verdana"/>
                <w:sz w:val="20"/>
                <w:szCs w:val="20"/>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sz w:val="20"/>
                <w:szCs w:val="20"/>
              </w:rPr>
            </w:pPr>
            <w:r>
              <w:rPr>
                <w:rFonts w:ascii="Verdana" w:hAnsi="Verdana"/>
                <w:sz w:val="20"/>
                <w:szCs w:val="20"/>
              </w:rPr>
              <w:t>LPP I Stewardship Committee</w:t>
            </w:r>
          </w:p>
        </w:tc>
        <w:tc>
          <w:tcPr>
            <w:tcW w:w="1418"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sz w:val="20"/>
                <w:szCs w:val="20"/>
              </w:rPr>
            </w:pPr>
            <w:r>
              <w:rPr>
                <w:rFonts w:ascii="Verdana" w:hAnsi="Verdana"/>
                <w:sz w:val="20"/>
                <w:szCs w:val="20"/>
              </w:rPr>
              <w:t>23/08/16</w:t>
            </w:r>
          </w:p>
        </w:tc>
        <w:tc>
          <w:tcPr>
            <w:tcW w:w="1377" w:type="dxa"/>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sz w:val="20"/>
                <w:szCs w:val="20"/>
              </w:rPr>
            </w:pPr>
          </w:p>
        </w:tc>
      </w:tr>
      <w:tr w:rsidR="00767CF6" w:rsidTr="007A2FFE">
        <w:trPr>
          <w:trHeight w:val="300"/>
        </w:trPr>
        <w:tc>
          <w:tcPr>
            <w:tcW w:w="988"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cs="Times New Roman"/>
                <w:kern w:val="28"/>
                <w:sz w:val="20"/>
                <w:szCs w:val="20"/>
              </w:rPr>
            </w:pPr>
            <w:r>
              <w:rPr>
                <w:rFonts w:ascii="Verdana" w:hAnsi="Verdana" w:cs="Times New Roman"/>
                <w:kern w:val="28"/>
                <w:sz w:val="20"/>
                <w:szCs w:val="20"/>
              </w:rPr>
              <w:t>1.0</w:t>
            </w:r>
          </w:p>
        </w:tc>
        <w:tc>
          <w:tcPr>
            <w:tcW w:w="2095"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r>
              <w:rPr>
                <w:rFonts w:ascii="Verdana" w:hAnsi="Verdana"/>
                <w:sz w:val="20"/>
                <w:szCs w:val="20"/>
              </w:rPr>
              <w:t>None</w:t>
            </w:r>
          </w:p>
        </w:tc>
        <w:tc>
          <w:tcPr>
            <w:tcW w:w="1732" w:type="dxa"/>
            <w:tcBorders>
              <w:top w:val="single" w:sz="4" w:space="0" w:color="auto"/>
              <w:left w:val="single" w:sz="4" w:space="0" w:color="auto"/>
              <w:bottom w:val="single" w:sz="4" w:space="0" w:color="auto"/>
              <w:right w:val="single" w:sz="4" w:space="0" w:color="auto"/>
            </w:tcBorders>
          </w:tcPr>
          <w:p w:rsidR="00604799" w:rsidRPr="007A2FFE" w:rsidRDefault="00B34F19" w:rsidP="007A2FFE">
            <w:pPr>
              <w:shd w:val="clear" w:color="auto" w:fill="FFFFFF"/>
              <w:rPr>
                <w:color w:val="1C8E9D"/>
                <w:lang w:eastAsia="en-GB"/>
              </w:rPr>
            </w:pPr>
            <w:r w:rsidRPr="007A2FFE">
              <w:rPr>
                <w:rFonts w:ascii="Verdana" w:hAnsi="Verdana"/>
                <w:sz w:val="20"/>
                <w:szCs w:val="20"/>
                <w:lang w:eastAsia="en-GB"/>
              </w:rPr>
              <w:t xml:space="preserve">Managing Director (Investments) &amp; Chief </w:t>
            </w:r>
            <w:r w:rsidRPr="007A2FFE">
              <w:rPr>
                <w:rFonts w:ascii="Verdana" w:hAnsi="Verdana"/>
                <w:sz w:val="20"/>
                <w:szCs w:val="20"/>
                <w:lang w:eastAsia="en-GB"/>
              </w:rPr>
              <w:t>Investment Officer</w:t>
            </w:r>
          </w:p>
        </w:tc>
        <w:tc>
          <w:tcPr>
            <w:tcW w:w="2095"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r>
              <w:rPr>
                <w:rFonts w:ascii="Verdana" w:hAnsi="Verdana"/>
                <w:sz w:val="20"/>
                <w:szCs w:val="20"/>
              </w:rPr>
              <w:t>LPP I Investment Committee</w:t>
            </w:r>
          </w:p>
        </w:tc>
        <w:tc>
          <w:tcPr>
            <w:tcW w:w="1418"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r>
              <w:rPr>
                <w:rFonts w:ascii="Verdana" w:hAnsi="Verdana"/>
                <w:sz w:val="20"/>
                <w:szCs w:val="20"/>
              </w:rPr>
              <w:t>31/08/2016</w:t>
            </w:r>
          </w:p>
        </w:tc>
        <w:tc>
          <w:tcPr>
            <w:tcW w:w="1377"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p>
        </w:tc>
      </w:tr>
      <w:tr w:rsidR="00767CF6" w:rsidTr="007A2FFE">
        <w:trPr>
          <w:trHeight w:val="319"/>
        </w:trPr>
        <w:tc>
          <w:tcPr>
            <w:tcW w:w="988" w:type="dxa"/>
            <w:tcBorders>
              <w:top w:val="single" w:sz="4" w:space="0" w:color="auto"/>
              <w:left w:val="single" w:sz="4" w:space="0" w:color="auto"/>
              <w:bottom w:val="single" w:sz="4" w:space="0" w:color="auto"/>
              <w:right w:val="single" w:sz="4" w:space="0" w:color="auto"/>
            </w:tcBorders>
          </w:tcPr>
          <w:p w:rsidR="00604799" w:rsidRDefault="00B34F19" w:rsidP="00E04E31">
            <w:pPr>
              <w:spacing w:after="0" w:line="256" w:lineRule="auto"/>
              <w:rPr>
                <w:rFonts w:ascii="Verdana" w:hAnsi="Verdana" w:cs="Times New Roman"/>
                <w:kern w:val="28"/>
                <w:sz w:val="20"/>
                <w:szCs w:val="20"/>
              </w:rPr>
            </w:pPr>
            <w:r>
              <w:rPr>
                <w:rFonts w:ascii="Verdana" w:hAnsi="Verdana" w:cs="Times New Roman"/>
                <w:kern w:val="28"/>
                <w:sz w:val="20"/>
                <w:szCs w:val="20"/>
              </w:rPr>
              <w:t>1.0</w:t>
            </w:r>
          </w:p>
          <w:p w:rsidR="0052662C" w:rsidRPr="00E04E31" w:rsidRDefault="00B34F19" w:rsidP="00E04E31">
            <w:pPr>
              <w:spacing w:after="0" w:line="256" w:lineRule="auto"/>
              <w:rPr>
                <w:rFonts w:ascii="Verdana" w:hAnsi="Verdana" w:cs="Times New Roman"/>
                <w:kern w:val="28"/>
                <w:sz w:val="20"/>
                <w:szCs w:val="20"/>
              </w:rPr>
            </w:pPr>
            <w:r>
              <w:rPr>
                <w:rFonts w:ascii="Verdana" w:hAnsi="Verdana" w:cs="Times New Roman"/>
                <w:kern w:val="28"/>
                <w:sz w:val="20"/>
                <w:szCs w:val="20"/>
              </w:rPr>
              <w:t>Final Public</w:t>
            </w:r>
          </w:p>
        </w:tc>
        <w:tc>
          <w:tcPr>
            <w:tcW w:w="2095" w:type="dxa"/>
            <w:tcBorders>
              <w:top w:val="single" w:sz="4" w:space="0" w:color="auto"/>
              <w:left w:val="single" w:sz="4" w:space="0" w:color="auto"/>
              <w:bottom w:val="single" w:sz="4" w:space="0" w:color="auto"/>
              <w:right w:val="single" w:sz="4" w:space="0" w:color="auto"/>
            </w:tcBorders>
          </w:tcPr>
          <w:p w:rsidR="00604799" w:rsidRPr="00E04E31" w:rsidRDefault="00B34F19" w:rsidP="0052662C">
            <w:pPr>
              <w:spacing w:after="0" w:line="256" w:lineRule="auto"/>
              <w:rPr>
                <w:rFonts w:ascii="Verdana" w:hAnsi="Verdana"/>
                <w:sz w:val="20"/>
                <w:szCs w:val="20"/>
              </w:rPr>
            </w:pPr>
            <w:r>
              <w:rPr>
                <w:rFonts w:ascii="Verdana" w:hAnsi="Verdana"/>
                <w:sz w:val="20"/>
                <w:szCs w:val="20"/>
              </w:rPr>
              <w:t xml:space="preserve">Opening paragraph of section 3  - minor addition to wording </w:t>
            </w:r>
          </w:p>
        </w:tc>
        <w:tc>
          <w:tcPr>
            <w:tcW w:w="1732"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r w:rsidRPr="007A2FFE">
              <w:rPr>
                <w:rFonts w:ascii="Verdana" w:hAnsi="Verdana"/>
                <w:sz w:val="20"/>
                <w:szCs w:val="20"/>
                <w:lang w:eastAsia="en-GB"/>
              </w:rPr>
              <w:t>Managing Director (Investments) &amp; Chief Investment Officer</w:t>
            </w:r>
          </w:p>
        </w:tc>
        <w:tc>
          <w:tcPr>
            <w:tcW w:w="2095"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r w:rsidRPr="00E04E31">
              <w:rPr>
                <w:rFonts w:ascii="Verdana" w:hAnsi="Verdana"/>
                <w:sz w:val="20"/>
                <w:szCs w:val="20"/>
              </w:rPr>
              <w:t>LPP Investments Board</w:t>
            </w:r>
          </w:p>
        </w:tc>
        <w:tc>
          <w:tcPr>
            <w:tcW w:w="1418"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r>
              <w:rPr>
                <w:rFonts w:ascii="Verdana" w:hAnsi="Verdana"/>
                <w:sz w:val="20"/>
                <w:szCs w:val="20"/>
              </w:rPr>
              <w:t>06/10/2016</w:t>
            </w:r>
          </w:p>
        </w:tc>
        <w:tc>
          <w:tcPr>
            <w:tcW w:w="1377" w:type="dxa"/>
            <w:tcBorders>
              <w:top w:val="single" w:sz="4" w:space="0" w:color="auto"/>
              <w:left w:val="single" w:sz="4" w:space="0" w:color="auto"/>
              <w:bottom w:val="single" w:sz="4" w:space="0" w:color="auto"/>
              <w:right w:val="single" w:sz="4" w:space="0" w:color="auto"/>
            </w:tcBorders>
          </w:tcPr>
          <w:p w:rsidR="00604799" w:rsidRPr="00E04E31" w:rsidRDefault="00B34F19" w:rsidP="0052662C">
            <w:pPr>
              <w:spacing w:after="0" w:line="256" w:lineRule="auto"/>
              <w:rPr>
                <w:rFonts w:ascii="Verdana" w:hAnsi="Verdana"/>
                <w:sz w:val="20"/>
                <w:szCs w:val="20"/>
              </w:rPr>
            </w:pPr>
            <w:r>
              <w:rPr>
                <w:rFonts w:ascii="Verdana" w:hAnsi="Verdana"/>
                <w:sz w:val="20"/>
                <w:szCs w:val="20"/>
              </w:rPr>
              <w:t>31</w:t>
            </w:r>
            <w:r w:rsidRPr="0052662C">
              <w:rPr>
                <w:rFonts w:ascii="Verdana" w:hAnsi="Verdana"/>
                <w:sz w:val="20"/>
                <w:szCs w:val="20"/>
                <w:vertAlign w:val="superscript"/>
              </w:rPr>
              <w:t>st</w:t>
            </w:r>
            <w:r>
              <w:rPr>
                <w:rFonts w:ascii="Verdana" w:hAnsi="Verdana"/>
                <w:sz w:val="20"/>
                <w:szCs w:val="20"/>
              </w:rPr>
              <w:t xml:space="preserve"> October 2016</w:t>
            </w:r>
          </w:p>
        </w:tc>
      </w:tr>
      <w:tr w:rsidR="00767CF6" w:rsidTr="007A2FFE">
        <w:trPr>
          <w:trHeight w:val="319"/>
        </w:trPr>
        <w:tc>
          <w:tcPr>
            <w:tcW w:w="988"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cs="Times New Roman"/>
                <w:kern w:val="28"/>
                <w:sz w:val="20"/>
                <w:szCs w:val="20"/>
              </w:rPr>
            </w:pPr>
          </w:p>
        </w:tc>
        <w:tc>
          <w:tcPr>
            <w:tcW w:w="2095"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p>
        </w:tc>
        <w:tc>
          <w:tcPr>
            <w:tcW w:w="1732"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p>
        </w:tc>
        <w:tc>
          <w:tcPr>
            <w:tcW w:w="2095"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p>
        </w:tc>
        <w:tc>
          <w:tcPr>
            <w:tcW w:w="1418"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cs="Times New Roman"/>
                <w:kern w:val="28"/>
                <w:sz w:val="20"/>
                <w:szCs w:val="20"/>
              </w:rPr>
            </w:pPr>
          </w:p>
        </w:tc>
        <w:tc>
          <w:tcPr>
            <w:tcW w:w="1377" w:type="dxa"/>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sz w:val="20"/>
                <w:szCs w:val="20"/>
              </w:rPr>
            </w:pPr>
          </w:p>
        </w:tc>
      </w:tr>
      <w:tr w:rsidR="00767CF6" w:rsidTr="009C22C5">
        <w:trPr>
          <w:trHeight w:val="319"/>
        </w:trPr>
        <w:tc>
          <w:tcPr>
            <w:tcW w:w="9705" w:type="dxa"/>
            <w:gridSpan w:val="6"/>
            <w:tcBorders>
              <w:top w:val="single" w:sz="4" w:space="0" w:color="auto"/>
              <w:left w:val="single" w:sz="4" w:space="0" w:color="auto"/>
              <w:bottom w:val="single" w:sz="4" w:space="0" w:color="auto"/>
              <w:right w:val="single" w:sz="4" w:space="0" w:color="auto"/>
            </w:tcBorders>
            <w:shd w:val="clear" w:color="auto" w:fill="BFBFBF"/>
            <w:hideMark/>
          </w:tcPr>
          <w:p w:rsidR="00604799" w:rsidRPr="00E04E31" w:rsidRDefault="00B34F19" w:rsidP="00E04E31">
            <w:pPr>
              <w:spacing w:after="0" w:line="256" w:lineRule="auto"/>
              <w:rPr>
                <w:rFonts w:ascii="Verdana" w:hAnsi="Verdana" w:cs="Times New Roman"/>
                <w:b/>
                <w:kern w:val="28"/>
                <w:sz w:val="20"/>
                <w:szCs w:val="20"/>
              </w:rPr>
            </w:pPr>
            <w:r w:rsidRPr="00E04E31">
              <w:rPr>
                <w:rFonts w:ascii="Verdana" w:hAnsi="Verdana" w:cs="Times New Roman"/>
                <w:b/>
                <w:kern w:val="28"/>
                <w:sz w:val="20"/>
                <w:szCs w:val="20"/>
              </w:rPr>
              <w:t>Distribution List (To be completed if Document is classified as confidential)</w:t>
            </w:r>
          </w:p>
        </w:tc>
      </w:tr>
      <w:tr w:rsidR="00767CF6" w:rsidTr="009C22C5">
        <w:trPr>
          <w:trHeight w:val="319"/>
        </w:trPr>
        <w:tc>
          <w:tcPr>
            <w:tcW w:w="9705" w:type="dxa"/>
            <w:gridSpan w:val="6"/>
            <w:tcBorders>
              <w:top w:val="single" w:sz="4" w:space="0" w:color="auto"/>
              <w:left w:val="single" w:sz="4" w:space="0" w:color="auto"/>
              <w:bottom w:val="single" w:sz="4" w:space="0" w:color="auto"/>
              <w:right w:val="single" w:sz="4" w:space="0" w:color="auto"/>
            </w:tcBorders>
            <w:hideMark/>
          </w:tcPr>
          <w:p w:rsidR="00604799" w:rsidRPr="00E04E31" w:rsidRDefault="00B34F19" w:rsidP="00E04E31">
            <w:pPr>
              <w:spacing w:after="0" w:line="256" w:lineRule="auto"/>
              <w:rPr>
                <w:rFonts w:ascii="Verdana" w:hAnsi="Verdana" w:cs="Times New Roman"/>
                <w:kern w:val="28"/>
                <w:sz w:val="20"/>
                <w:szCs w:val="20"/>
              </w:rPr>
            </w:pPr>
          </w:p>
        </w:tc>
      </w:tr>
      <w:tr w:rsidR="00767CF6" w:rsidTr="009C22C5">
        <w:trPr>
          <w:trHeight w:val="319"/>
        </w:trPr>
        <w:tc>
          <w:tcPr>
            <w:tcW w:w="9705" w:type="dxa"/>
            <w:gridSpan w:val="6"/>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cs="Times New Roman"/>
                <w:b/>
                <w:kern w:val="28"/>
                <w:sz w:val="20"/>
                <w:szCs w:val="20"/>
              </w:rPr>
            </w:pPr>
          </w:p>
        </w:tc>
      </w:tr>
      <w:tr w:rsidR="00767CF6" w:rsidTr="009C22C5">
        <w:trPr>
          <w:trHeight w:val="319"/>
        </w:trPr>
        <w:tc>
          <w:tcPr>
            <w:tcW w:w="9705" w:type="dxa"/>
            <w:gridSpan w:val="6"/>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cs="Times New Roman"/>
                <w:b/>
                <w:kern w:val="28"/>
                <w:sz w:val="20"/>
                <w:szCs w:val="20"/>
              </w:rPr>
            </w:pPr>
          </w:p>
        </w:tc>
      </w:tr>
      <w:tr w:rsidR="00767CF6" w:rsidTr="009C22C5">
        <w:trPr>
          <w:trHeight w:val="319"/>
        </w:trPr>
        <w:tc>
          <w:tcPr>
            <w:tcW w:w="9705" w:type="dxa"/>
            <w:gridSpan w:val="6"/>
            <w:tcBorders>
              <w:top w:val="single" w:sz="4" w:space="0" w:color="auto"/>
              <w:left w:val="single" w:sz="4" w:space="0" w:color="auto"/>
              <w:bottom w:val="single" w:sz="4" w:space="0" w:color="auto"/>
              <w:right w:val="single" w:sz="4" w:space="0" w:color="auto"/>
            </w:tcBorders>
          </w:tcPr>
          <w:p w:rsidR="00604799" w:rsidRPr="00E04E31" w:rsidRDefault="00B34F19" w:rsidP="00E04E31">
            <w:pPr>
              <w:spacing w:after="0" w:line="256" w:lineRule="auto"/>
              <w:rPr>
                <w:rFonts w:ascii="Verdana" w:hAnsi="Verdana" w:cs="Times New Roman"/>
                <w:b/>
                <w:kern w:val="28"/>
                <w:sz w:val="20"/>
                <w:szCs w:val="20"/>
              </w:rPr>
            </w:pPr>
          </w:p>
        </w:tc>
      </w:tr>
    </w:tbl>
    <w:p w:rsidR="00604799" w:rsidRPr="00E04E31" w:rsidRDefault="00B34F19" w:rsidP="00E04E31">
      <w:pPr>
        <w:spacing w:after="0"/>
        <w:rPr>
          <w:rFonts w:ascii="Verdana" w:hAnsi="Verdana"/>
          <w:sz w:val="20"/>
          <w:szCs w:val="20"/>
        </w:rPr>
      </w:pPr>
    </w:p>
    <w:p w:rsidR="00604799" w:rsidRPr="00E04E31" w:rsidRDefault="00B34F19" w:rsidP="00E04E31">
      <w:pPr>
        <w:spacing w:after="0"/>
        <w:rPr>
          <w:rFonts w:ascii="Verdana" w:hAnsi="Verdana"/>
          <w:sz w:val="20"/>
          <w:szCs w:val="20"/>
        </w:rPr>
      </w:pPr>
    </w:p>
    <w:p w:rsidR="00604799" w:rsidRPr="00E04E31" w:rsidRDefault="00B34F19" w:rsidP="00E04E31">
      <w:pPr>
        <w:pStyle w:val="Default"/>
        <w:spacing w:line="276" w:lineRule="auto"/>
        <w:jc w:val="both"/>
        <w:rPr>
          <w:rFonts w:ascii="Verdana" w:hAnsi="Verdana" w:cs="Arial"/>
          <w:sz w:val="20"/>
          <w:szCs w:val="20"/>
        </w:rPr>
      </w:pPr>
    </w:p>
    <w:sectPr w:rsidR="00604799" w:rsidRPr="00E04E31" w:rsidSect="00B23C16">
      <w:footerReference w:type="default" r:id="rId8"/>
      <w:headerReference w:type="first" r:id="rId9"/>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4F19">
      <w:pPr>
        <w:spacing w:after="0" w:line="240" w:lineRule="auto"/>
      </w:pPr>
      <w:r>
        <w:separator/>
      </w:r>
    </w:p>
  </w:endnote>
  <w:endnote w:type="continuationSeparator" w:id="0">
    <w:p w:rsidR="00000000" w:rsidRDefault="00B3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D6A" w:rsidRDefault="00B34F19">
    <w:pPr>
      <w:pStyle w:val="Footer"/>
    </w:pPr>
  </w:p>
  <w:p w:rsidR="00E54D6A" w:rsidRDefault="00B34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4F19">
      <w:pPr>
        <w:spacing w:after="0" w:line="240" w:lineRule="auto"/>
      </w:pPr>
      <w:r>
        <w:separator/>
      </w:r>
    </w:p>
  </w:footnote>
  <w:footnote w:type="continuationSeparator" w:id="0">
    <w:p w:rsidR="00000000" w:rsidRDefault="00B34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16" w:rsidRDefault="00B34F19">
    <w:pPr>
      <w:pStyle w:val="Header"/>
    </w:pPr>
  </w:p>
  <w:p w:rsidR="006C742E" w:rsidRDefault="00B34F19">
    <w:pPr>
      <w:pStyle w:val="Header"/>
    </w:pPr>
    <w:r>
      <w:rPr>
        <w:noProof/>
        <w:lang w:eastAsia="en-GB"/>
      </w:rPr>
      <w:drawing>
        <wp:anchor distT="0" distB="0" distL="114300" distR="114300" simplePos="0" relativeHeight="251658240" behindDoc="0" locked="0" layoutInCell="1" allowOverlap="1">
          <wp:simplePos x="0" y="0"/>
          <wp:positionH relativeFrom="column">
            <wp:posOffset>3957955</wp:posOffset>
          </wp:positionH>
          <wp:positionV relativeFrom="paragraph">
            <wp:posOffset>411480</wp:posOffset>
          </wp:positionV>
          <wp:extent cx="2152650" cy="1076325"/>
          <wp:effectExtent l="0" t="0" r="0" b="9525"/>
          <wp:wrapSquare wrapText="bothSides"/>
          <wp:docPr id="1" name="Picture 1"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A67"/>
    <w:multiLevelType w:val="hybridMultilevel"/>
    <w:tmpl w:val="510A76B2"/>
    <w:lvl w:ilvl="0" w:tplc="5D6A0D4A">
      <w:start w:val="1"/>
      <w:numFmt w:val="lowerRoman"/>
      <w:lvlText w:val="%1."/>
      <w:lvlJc w:val="left"/>
      <w:pPr>
        <w:tabs>
          <w:tab w:val="num" w:pos="510"/>
        </w:tabs>
        <w:ind w:left="454" w:hanging="454"/>
      </w:pPr>
      <w:rPr>
        <w:rFonts w:hint="default"/>
        <w:b w:val="0"/>
      </w:rPr>
    </w:lvl>
    <w:lvl w:ilvl="1" w:tplc="1FCEA40C" w:tentative="1">
      <w:start w:val="1"/>
      <w:numFmt w:val="bullet"/>
      <w:lvlText w:val="o"/>
      <w:lvlJc w:val="left"/>
      <w:pPr>
        <w:tabs>
          <w:tab w:val="num" w:pos="1080"/>
        </w:tabs>
        <w:ind w:left="1080" w:hanging="360"/>
      </w:pPr>
      <w:rPr>
        <w:rFonts w:ascii="Courier New" w:hAnsi="Courier New" w:cs="Courier New" w:hint="default"/>
      </w:rPr>
    </w:lvl>
    <w:lvl w:ilvl="2" w:tplc="EBB2CBC6" w:tentative="1">
      <w:start w:val="1"/>
      <w:numFmt w:val="bullet"/>
      <w:lvlText w:val=""/>
      <w:lvlJc w:val="left"/>
      <w:pPr>
        <w:tabs>
          <w:tab w:val="num" w:pos="1800"/>
        </w:tabs>
        <w:ind w:left="1800" w:hanging="360"/>
      </w:pPr>
      <w:rPr>
        <w:rFonts w:ascii="Wingdings" w:hAnsi="Wingdings" w:hint="default"/>
      </w:rPr>
    </w:lvl>
    <w:lvl w:ilvl="3" w:tplc="02CC920E" w:tentative="1">
      <w:start w:val="1"/>
      <w:numFmt w:val="bullet"/>
      <w:lvlText w:val=""/>
      <w:lvlJc w:val="left"/>
      <w:pPr>
        <w:tabs>
          <w:tab w:val="num" w:pos="2520"/>
        </w:tabs>
        <w:ind w:left="2520" w:hanging="360"/>
      </w:pPr>
      <w:rPr>
        <w:rFonts w:ascii="Symbol" w:hAnsi="Symbol" w:hint="default"/>
      </w:rPr>
    </w:lvl>
    <w:lvl w:ilvl="4" w:tplc="B17C5FBA" w:tentative="1">
      <w:start w:val="1"/>
      <w:numFmt w:val="bullet"/>
      <w:lvlText w:val="o"/>
      <w:lvlJc w:val="left"/>
      <w:pPr>
        <w:tabs>
          <w:tab w:val="num" w:pos="3240"/>
        </w:tabs>
        <w:ind w:left="3240" w:hanging="360"/>
      </w:pPr>
      <w:rPr>
        <w:rFonts w:ascii="Courier New" w:hAnsi="Courier New" w:cs="Courier New" w:hint="default"/>
      </w:rPr>
    </w:lvl>
    <w:lvl w:ilvl="5" w:tplc="C69265E4" w:tentative="1">
      <w:start w:val="1"/>
      <w:numFmt w:val="bullet"/>
      <w:lvlText w:val=""/>
      <w:lvlJc w:val="left"/>
      <w:pPr>
        <w:tabs>
          <w:tab w:val="num" w:pos="3960"/>
        </w:tabs>
        <w:ind w:left="3960" w:hanging="360"/>
      </w:pPr>
      <w:rPr>
        <w:rFonts w:ascii="Wingdings" w:hAnsi="Wingdings" w:hint="default"/>
      </w:rPr>
    </w:lvl>
    <w:lvl w:ilvl="6" w:tplc="6576E346" w:tentative="1">
      <w:start w:val="1"/>
      <w:numFmt w:val="bullet"/>
      <w:lvlText w:val=""/>
      <w:lvlJc w:val="left"/>
      <w:pPr>
        <w:tabs>
          <w:tab w:val="num" w:pos="4680"/>
        </w:tabs>
        <w:ind w:left="4680" w:hanging="360"/>
      </w:pPr>
      <w:rPr>
        <w:rFonts w:ascii="Symbol" w:hAnsi="Symbol" w:hint="default"/>
      </w:rPr>
    </w:lvl>
    <w:lvl w:ilvl="7" w:tplc="8348C88E" w:tentative="1">
      <w:start w:val="1"/>
      <w:numFmt w:val="bullet"/>
      <w:lvlText w:val="o"/>
      <w:lvlJc w:val="left"/>
      <w:pPr>
        <w:tabs>
          <w:tab w:val="num" w:pos="5400"/>
        </w:tabs>
        <w:ind w:left="5400" w:hanging="360"/>
      </w:pPr>
      <w:rPr>
        <w:rFonts w:ascii="Courier New" w:hAnsi="Courier New" w:cs="Courier New" w:hint="default"/>
      </w:rPr>
    </w:lvl>
    <w:lvl w:ilvl="8" w:tplc="9E48CF5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E3750"/>
    <w:multiLevelType w:val="hybridMultilevel"/>
    <w:tmpl w:val="636CBF22"/>
    <w:lvl w:ilvl="0" w:tplc="C8D6327C">
      <w:start w:val="1"/>
      <w:numFmt w:val="lowerLetter"/>
      <w:lvlText w:val="%1)"/>
      <w:lvlJc w:val="left"/>
      <w:pPr>
        <w:ind w:left="1440" w:hanging="360"/>
      </w:pPr>
    </w:lvl>
    <w:lvl w:ilvl="1" w:tplc="35D6B276" w:tentative="1">
      <w:start w:val="1"/>
      <w:numFmt w:val="lowerLetter"/>
      <w:lvlText w:val="%2."/>
      <w:lvlJc w:val="left"/>
      <w:pPr>
        <w:ind w:left="2160" w:hanging="360"/>
      </w:pPr>
    </w:lvl>
    <w:lvl w:ilvl="2" w:tplc="10444650" w:tentative="1">
      <w:start w:val="1"/>
      <w:numFmt w:val="lowerRoman"/>
      <w:lvlText w:val="%3."/>
      <w:lvlJc w:val="right"/>
      <w:pPr>
        <w:ind w:left="2880" w:hanging="180"/>
      </w:pPr>
    </w:lvl>
    <w:lvl w:ilvl="3" w:tplc="F10E42FA" w:tentative="1">
      <w:start w:val="1"/>
      <w:numFmt w:val="decimal"/>
      <w:lvlText w:val="%4."/>
      <w:lvlJc w:val="left"/>
      <w:pPr>
        <w:ind w:left="3600" w:hanging="360"/>
      </w:pPr>
    </w:lvl>
    <w:lvl w:ilvl="4" w:tplc="F55A17C4" w:tentative="1">
      <w:start w:val="1"/>
      <w:numFmt w:val="lowerLetter"/>
      <w:lvlText w:val="%5."/>
      <w:lvlJc w:val="left"/>
      <w:pPr>
        <w:ind w:left="4320" w:hanging="360"/>
      </w:pPr>
    </w:lvl>
    <w:lvl w:ilvl="5" w:tplc="1E1A4474" w:tentative="1">
      <w:start w:val="1"/>
      <w:numFmt w:val="lowerRoman"/>
      <w:lvlText w:val="%6."/>
      <w:lvlJc w:val="right"/>
      <w:pPr>
        <w:ind w:left="5040" w:hanging="180"/>
      </w:pPr>
    </w:lvl>
    <w:lvl w:ilvl="6" w:tplc="65087A62" w:tentative="1">
      <w:start w:val="1"/>
      <w:numFmt w:val="decimal"/>
      <w:lvlText w:val="%7."/>
      <w:lvlJc w:val="left"/>
      <w:pPr>
        <w:ind w:left="5760" w:hanging="360"/>
      </w:pPr>
    </w:lvl>
    <w:lvl w:ilvl="7" w:tplc="66A08F16" w:tentative="1">
      <w:start w:val="1"/>
      <w:numFmt w:val="lowerLetter"/>
      <w:lvlText w:val="%8."/>
      <w:lvlJc w:val="left"/>
      <w:pPr>
        <w:ind w:left="6480" w:hanging="360"/>
      </w:pPr>
    </w:lvl>
    <w:lvl w:ilvl="8" w:tplc="BF326576" w:tentative="1">
      <w:start w:val="1"/>
      <w:numFmt w:val="lowerRoman"/>
      <w:lvlText w:val="%9."/>
      <w:lvlJc w:val="right"/>
      <w:pPr>
        <w:ind w:left="7200" w:hanging="180"/>
      </w:pPr>
    </w:lvl>
  </w:abstractNum>
  <w:abstractNum w:abstractNumId="2" w15:restartNumberingAfterBreak="0">
    <w:nsid w:val="1A444BBF"/>
    <w:multiLevelType w:val="hybridMultilevel"/>
    <w:tmpl w:val="6A84AB34"/>
    <w:lvl w:ilvl="0" w:tplc="E3803A74">
      <w:start w:val="1"/>
      <w:numFmt w:val="decimal"/>
      <w:pStyle w:val="treb"/>
      <w:lvlText w:val="%1."/>
      <w:lvlJc w:val="left"/>
      <w:pPr>
        <w:ind w:left="720" w:hanging="360"/>
      </w:pPr>
      <w:rPr>
        <w:rFonts w:hint="default"/>
      </w:rPr>
    </w:lvl>
    <w:lvl w:ilvl="1" w:tplc="E55C84DC" w:tentative="1">
      <w:start w:val="1"/>
      <w:numFmt w:val="lowerLetter"/>
      <w:lvlText w:val="%2."/>
      <w:lvlJc w:val="left"/>
      <w:pPr>
        <w:ind w:left="1440" w:hanging="360"/>
      </w:pPr>
    </w:lvl>
    <w:lvl w:ilvl="2" w:tplc="771AB2FE" w:tentative="1">
      <w:start w:val="1"/>
      <w:numFmt w:val="lowerRoman"/>
      <w:lvlText w:val="%3."/>
      <w:lvlJc w:val="right"/>
      <w:pPr>
        <w:ind w:left="2160" w:hanging="180"/>
      </w:pPr>
    </w:lvl>
    <w:lvl w:ilvl="3" w:tplc="38D0D8C8" w:tentative="1">
      <w:start w:val="1"/>
      <w:numFmt w:val="decimal"/>
      <w:lvlText w:val="%4."/>
      <w:lvlJc w:val="left"/>
      <w:pPr>
        <w:ind w:left="2880" w:hanging="360"/>
      </w:pPr>
    </w:lvl>
    <w:lvl w:ilvl="4" w:tplc="2BCCA8DA" w:tentative="1">
      <w:start w:val="1"/>
      <w:numFmt w:val="lowerLetter"/>
      <w:lvlText w:val="%5."/>
      <w:lvlJc w:val="left"/>
      <w:pPr>
        <w:ind w:left="3600" w:hanging="360"/>
      </w:pPr>
    </w:lvl>
    <w:lvl w:ilvl="5" w:tplc="4276F58C" w:tentative="1">
      <w:start w:val="1"/>
      <w:numFmt w:val="lowerRoman"/>
      <w:lvlText w:val="%6."/>
      <w:lvlJc w:val="right"/>
      <w:pPr>
        <w:ind w:left="4320" w:hanging="180"/>
      </w:pPr>
    </w:lvl>
    <w:lvl w:ilvl="6" w:tplc="A0D6C722" w:tentative="1">
      <w:start w:val="1"/>
      <w:numFmt w:val="decimal"/>
      <w:lvlText w:val="%7."/>
      <w:lvlJc w:val="left"/>
      <w:pPr>
        <w:ind w:left="5040" w:hanging="360"/>
      </w:pPr>
    </w:lvl>
    <w:lvl w:ilvl="7" w:tplc="E7987952" w:tentative="1">
      <w:start w:val="1"/>
      <w:numFmt w:val="lowerLetter"/>
      <w:lvlText w:val="%8."/>
      <w:lvlJc w:val="left"/>
      <w:pPr>
        <w:ind w:left="5760" w:hanging="360"/>
      </w:pPr>
    </w:lvl>
    <w:lvl w:ilvl="8" w:tplc="A0AEAEBC" w:tentative="1">
      <w:start w:val="1"/>
      <w:numFmt w:val="lowerRoman"/>
      <w:lvlText w:val="%9."/>
      <w:lvlJc w:val="right"/>
      <w:pPr>
        <w:ind w:left="6480" w:hanging="180"/>
      </w:pPr>
    </w:lvl>
  </w:abstractNum>
  <w:abstractNum w:abstractNumId="3" w15:restartNumberingAfterBreak="0">
    <w:nsid w:val="1A736AAD"/>
    <w:multiLevelType w:val="hybridMultilevel"/>
    <w:tmpl w:val="55340012"/>
    <w:lvl w:ilvl="0" w:tplc="7A3271C8">
      <w:start w:val="1"/>
      <w:numFmt w:val="bullet"/>
      <w:lvlText w:val=""/>
      <w:lvlJc w:val="left"/>
      <w:pPr>
        <w:ind w:left="720" w:hanging="360"/>
      </w:pPr>
      <w:rPr>
        <w:rFonts w:ascii="Symbol" w:hAnsi="Symbol" w:hint="default"/>
      </w:rPr>
    </w:lvl>
    <w:lvl w:ilvl="1" w:tplc="663C7298" w:tentative="1">
      <w:start w:val="1"/>
      <w:numFmt w:val="bullet"/>
      <w:lvlText w:val="o"/>
      <w:lvlJc w:val="left"/>
      <w:pPr>
        <w:ind w:left="1440" w:hanging="360"/>
      </w:pPr>
      <w:rPr>
        <w:rFonts w:ascii="Courier New" w:hAnsi="Courier New" w:cs="Courier New" w:hint="default"/>
      </w:rPr>
    </w:lvl>
    <w:lvl w:ilvl="2" w:tplc="900A746E" w:tentative="1">
      <w:start w:val="1"/>
      <w:numFmt w:val="bullet"/>
      <w:lvlText w:val=""/>
      <w:lvlJc w:val="left"/>
      <w:pPr>
        <w:ind w:left="2160" w:hanging="360"/>
      </w:pPr>
      <w:rPr>
        <w:rFonts w:ascii="Wingdings" w:hAnsi="Wingdings" w:hint="default"/>
      </w:rPr>
    </w:lvl>
    <w:lvl w:ilvl="3" w:tplc="34D06A64" w:tentative="1">
      <w:start w:val="1"/>
      <w:numFmt w:val="bullet"/>
      <w:lvlText w:val=""/>
      <w:lvlJc w:val="left"/>
      <w:pPr>
        <w:ind w:left="2880" w:hanging="360"/>
      </w:pPr>
      <w:rPr>
        <w:rFonts w:ascii="Symbol" w:hAnsi="Symbol" w:hint="default"/>
      </w:rPr>
    </w:lvl>
    <w:lvl w:ilvl="4" w:tplc="E77AB130" w:tentative="1">
      <w:start w:val="1"/>
      <w:numFmt w:val="bullet"/>
      <w:lvlText w:val="o"/>
      <w:lvlJc w:val="left"/>
      <w:pPr>
        <w:ind w:left="3600" w:hanging="360"/>
      </w:pPr>
      <w:rPr>
        <w:rFonts w:ascii="Courier New" w:hAnsi="Courier New" w:cs="Courier New" w:hint="default"/>
      </w:rPr>
    </w:lvl>
    <w:lvl w:ilvl="5" w:tplc="F55C6346" w:tentative="1">
      <w:start w:val="1"/>
      <w:numFmt w:val="bullet"/>
      <w:lvlText w:val=""/>
      <w:lvlJc w:val="left"/>
      <w:pPr>
        <w:ind w:left="4320" w:hanging="360"/>
      </w:pPr>
      <w:rPr>
        <w:rFonts w:ascii="Wingdings" w:hAnsi="Wingdings" w:hint="default"/>
      </w:rPr>
    </w:lvl>
    <w:lvl w:ilvl="6" w:tplc="E8884064" w:tentative="1">
      <w:start w:val="1"/>
      <w:numFmt w:val="bullet"/>
      <w:lvlText w:val=""/>
      <w:lvlJc w:val="left"/>
      <w:pPr>
        <w:ind w:left="5040" w:hanging="360"/>
      </w:pPr>
      <w:rPr>
        <w:rFonts w:ascii="Symbol" w:hAnsi="Symbol" w:hint="default"/>
      </w:rPr>
    </w:lvl>
    <w:lvl w:ilvl="7" w:tplc="93C442EC" w:tentative="1">
      <w:start w:val="1"/>
      <w:numFmt w:val="bullet"/>
      <w:lvlText w:val="o"/>
      <w:lvlJc w:val="left"/>
      <w:pPr>
        <w:ind w:left="5760" w:hanging="360"/>
      </w:pPr>
      <w:rPr>
        <w:rFonts w:ascii="Courier New" w:hAnsi="Courier New" w:cs="Courier New" w:hint="default"/>
      </w:rPr>
    </w:lvl>
    <w:lvl w:ilvl="8" w:tplc="EA0EE24C" w:tentative="1">
      <w:start w:val="1"/>
      <w:numFmt w:val="bullet"/>
      <w:lvlText w:val=""/>
      <w:lvlJc w:val="left"/>
      <w:pPr>
        <w:ind w:left="6480" w:hanging="360"/>
      </w:pPr>
      <w:rPr>
        <w:rFonts w:ascii="Wingdings" w:hAnsi="Wingdings" w:hint="default"/>
      </w:rPr>
    </w:lvl>
  </w:abstractNum>
  <w:abstractNum w:abstractNumId="4" w15:restartNumberingAfterBreak="0">
    <w:nsid w:val="1EB548AC"/>
    <w:multiLevelType w:val="hybridMultilevel"/>
    <w:tmpl w:val="614AF12A"/>
    <w:lvl w:ilvl="0" w:tplc="6218BA4E">
      <w:start w:val="1"/>
      <w:numFmt w:val="upperRoman"/>
      <w:lvlText w:val="%1."/>
      <w:lvlJc w:val="right"/>
      <w:pPr>
        <w:ind w:left="720" w:hanging="180"/>
      </w:pPr>
    </w:lvl>
    <w:lvl w:ilvl="1" w:tplc="E5FEFEF0" w:tentative="1">
      <w:start w:val="1"/>
      <w:numFmt w:val="lowerLetter"/>
      <w:lvlText w:val="%2."/>
      <w:lvlJc w:val="left"/>
      <w:pPr>
        <w:ind w:left="1440" w:hanging="360"/>
      </w:pPr>
    </w:lvl>
    <w:lvl w:ilvl="2" w:tplc="D778B73C" w:tentative="1">
      <w:start w:val="1"/>
      <w:numFmt w:val="lowerRoman"/>
      <w:lvlText w:val="%3."/>
      <w:lvlJc w:val="right"/>
      <w:pPr>
        <w:ind w:left="2160" w:hanging="180"/>
      </w:pPr>
    </w:lvl>
    <w:lvl w:ilvl="3" w:tplc="EA9E4EB8" w:tentative="1">
      <w:start w:val="1"/>
      <w:numFmt w:val="decimal"/>
      <w:lvlText w:val="%4."/>
      <w:lvlJc w:val="left"/>
      <w:pPr>
        <w:ind w:left="2880" w:hanging="360"/>
      </w:pPr>
    </w:lvl>
    <w:lvl w:ilvl="4" w:tplc="57889334" w:tentative="1">
      <w:start w:val="1"/>
      <w:numFmt w:val="lowerLetter"/>
      <w:lvlText w:val="%5."/>
      <w:lvlJc w:val="left"/>
      <w:pPr>
        <w:ind w:left="3600" w:hanging="360"/>
      </w:pPr>
    </w:lvl>
    <w:lvl w:ilvl="5" w:tplc="DF2AF0C0" w:tentative="1">
      <w:start w:val="1"/>
      <w:numFmt w:val="lowerRoman"/>
      <w:lvlText w:val="%6."/>
      <w:lvlJc w:val="right"/>
      <w:pPr>
        <w:ind w:left="4320" w:hanging="180"/>
      </w:pPr>
    </w:lvl>
    <w:lvl w:ilvl="6" w:tplc="7F9E5E4C" w:tentative="1">
      <w:start w:val="1"/>
      <w:numFmt w:val="decimal"/>
      <w:lvlText w:val="%7."/>
      <w:lvlJc w:val="left"/>
      <w:pPr>
        <w:ind w:left="5040" w:hanging="360"/>
      </w:pPr>
    </w:lvl>
    <w:lvl w:ilvl="7" w:tplc="E7509034" w:tentative="1">
      <w:start w:val="1"/>
      <w:numFmt w:val="lowerLetter"/>
      <w:lvlText w:val="%8."/>
      <w:lvlJc w:val="left"/>
      <w:pPr>
        <w:ind w:left="5760" w:hanging="360"/>
      </w:pPr>
    </w:lvl>
    <w:lvl w:ilvl="8" w:tplc="A58A508E" w:tentative="1">
      <w:start w:val="1"/>
      <w:numFmt w:val="lowerRoman"/>
      <w:lvlText w:val="%9."/>
      <w:lvlJc w:val="right"/>
      <w:pPr>
        <w:ind w:left="6480" w:hanging="180"/>
      </w:pPr>
    </w:lvl>
  </w:abstractNum>
  <w:abstractNum w:abstractNumId="5" w15:restartNumberingAfterBreak="0">
    <w:nsid w:val="33325248"/>
    <w:multiLevelType w:val="hybridMultilevel"/>
    <w:tmpl w:val="916C4DBE"/>
    <w:lvl w:ilvl="0" w:tplc="B1CEE368">
      <w:start w:val="1"/>
      <w:numFmt w:val="bullet"/>
      <w:lvlText w:val=""/>
      <w:lvlJc w:val="left"/>
      <w:pPr>
        <w:ind w:left="720" w:hanging="360"/>
      </w:pPr>
      <w:rPr>
        <w:rFonts w:ascii="Symbol" w:hAnsi="Symbol" w:hint="default"/>
      </w:rPr>
    </w:lvl>
    <w:lvl w:ilvl="1" w:tplc="BBC063A2" w:tentative="1">
      <w:start w:val="1"/>
      <w:numFmt w:val="bullet"/>
      <w:lvlText w:val="o"/>
      <w:lvlJc w:val="left"/>
      <w:pPr>
        <w:ind w:left="1440" w:hanging="360"/>
      </w:pPr>
      <w:rPr>
        <w:rFonts w:ascii="Courier New" w:hAnsi="Courier New" w:cs="Courier New" w:hint="default"/>
      </w:rPr>
    </w:lvl>
    <w:lvl w:ilvl="2" w:tplc="C2641C7E" w:tentative="1">
      <w:start w:val="1"/>
      <w:numFmt w:val="bullet"/>
      <w:lvlText w:val=""/>
      <w:lvlJc w:val="left"/>
      <w:pPr>
        <w:ind w:left="2160" w:hanging="360"/>
      </w:pPr>
      <w:rPr>
        <w:rFonts w:ascii="Wingdings" w:hAnsi="Wingdings" w:hint="default"/>
      </w:rPr>
    </w:lvl>
    <w:lvl w:ilvl="3" w:tplc="550E6D86" w:tentative="1">
      <w:start w:val="1"/>
      <w:numFmt w:val="bullet"/>
      <w:lvlText w:val=""/>
      <w:lvlJc w:val="left"/>
      <w:pPr>
        <w:ind w:left="2880" w:hanging="360"/>
      </w:pPr>
      <w:rPr>
        <w:rFonts w:ascii="Symbol" w:hAnsi="Symbol" w:hint="default"/>
      </w:rPr>
    </w:lvl>
    <w:lvl w:ilvl="4" w:tplc="15362550" w:tentative="1">
      <w:start w:val="1"/>
      <w:numFmt w:val="bullet"/>
      <w:lvlText w:val="o"/>
      <w:lvlJc w:val="left"/>
      <w:pPr>
        <w:ind w:left="3600" w:hanging="360"/>
      </w:pPr>
      <w:rPr>
        <w:rFonts w:ascii="Courier New" w:hAnsi="Courier New" w:cs="Courier New" w:hint="default"/>
      </w:rPr>
    </w:lvl>
    <w:lvl w:ilvl="5" w:tplc="D50EFD7C" w:tentative="1">
      <w:start w:val="1"/>
      <w:numFmt w:val="bullet"/>
      <w:lvlText w:val=""/>
      <w:lvlJc w:val="left"/>
      <w:pPr>
        <w:ind w:left="4320" w:hanging="360"/>
      </w:pPr>
      <w:rPr>
        <w:rFonts w:ascii="Wingdings" w:hAnsi="Wingdings" w:hint="default"/>
      </w:rPr>
    </w:lvl>
    <w:lvl w:ilvl="6" w:tplc="4B4C0F90" w:tentative="1">
      <w:start w:val="1"/>
      <w:numFmt w:val="bullet"/>
      <w:lvlText w:val=""/>
      <w:lvlJc w:val="left"/>
      <w:pPr>
        <w:ind w:left="5040" w:hanging="360"/>
      </w:pPr>
      <w:rPr>
        <w:rFonts w:ascii="Symbol" w:hAnsi="Symbol" w:hint="default"/>
      </w:rPr>
    </w:lvl>
    <w:lvl w:ilvl="7" w:tplc="710C6E72" w:tentative="1">
      <w:start w:val="1"/>
      <w:numFmt w:val="bullet"/>
      <w:lvlText w:val="o"/>
      <w:lvlJc w:val="left"/>
      <w:pPr>
        <w:ind w:left="5760" w:hanging="360"/>
      </w:pPr>
      <w:rPr>
        <w:rFonts w:ascii="Courier New" w:hAnsi="Courier New" w:cs="Courier New" w:hint="default"/>
      </w:rPr>
    </w:lvl>
    <w:lvl w:ilvl="8" w:tplc="8E141746" w:tentative="1">
      <w:start w:val="1"/>
      <w:numFmt w:val="bullet"/>
      <w:lvlText w:val=""/>
      <w:lvlJc w:val="left"/>
      <w:pPr>
        <w:ind w:left="6480" w:hanging="360"/>
      </w:pPr>
      <w:rPr>
        <w:rFonts w:ascii="Wingdings" w:hAnsi="Wingdings" w:hint="default"/>
      </w:rPr>
    </w:lvl>
  </w:abstractNum>
  <w:abstractNum w:abstractNumId="6" w15:restartNumberingAfterBreak="0">
    <w:nsid w:val="334946EF"/>
    <w:multiLevelType w:val="hybridMultilevel"/>
    <w:tmpl w:val="C4DCBF46"/>
    <w:lvl w:ilvl="0" w:tplc="D750925A">
      <w:start w:val="1"/>
      <w:numFmt w:val="upperRoman"/>
      <w:lvlText w:val="%1."/>
      <w:lvlJc w:val="right"/>
      <w:pPr>
        <w:ind w:left="720" w:hanging="180"/>
      </w:pPr>
    </w:lvl>
    <w:lvl w:ilvl="1" w:tplc="24288612" w:tentative="1">
      <w:start w:val="1"/>
      <w:numFmt w:val="lowerLetter"/>
      <w:lvlText w:val="%2."/>
      <w:lvlJc w:val="left"/>
      <w:pPr>
        <w:ind w:left="1440" w:hanging="360"/>
      </w:pPr>
    </w:lvl>
    <w:lvl w:ilvl="2" w:tplc="D4FC52AA" w:tentative="1">
      <w:start w:val="1"/>
      <w:numFmt w:val="lowerRoman"/>
      <w:lvlText w:val="%3."/>
      <w:lvlJc w:val="right"/>
      <w:pPr>
        <w:ind w:left="2160" w:hanging="180"/>
      </w:pPr>
    </w:lvl>
    <w:lvl w:ilvl="3" w:tplc="A0CE9B04" w:tentative="1">
      <w:start w:val="1"/>
      <w:numFmt w:val="decimal"/>
      <w:lvlText w:val="%4."/>
      <w:lvlJc w:val="left"/>
      <w:pPr>
        <w:ind w:left="2880" w:hanging="360"/>
      </w:pPr>
    </w:lvl>
    <w:lvl w:ilvl="4" w:tplc="7CE61A5E" w:tentative="1">
      <w:start w:val="1"/>
      <w:numFmt w:val="lowerLetter"/>
      <w:lvlText w:val="%5."/>
      <w:lvlJc w:val="left"/>
      <w:pPr>
        <w:ind w:left="3600" w:hanging="360"/>
      </w:pPr>
    </w:lvl>
    <w:lvl w:ilvl="5" w:tplc="102AA1D6" w:tentative="1">
      <w:start w:val="1"/>
      <w:numFmt w:val="lowerRoman"/>
      <w:lvlText w:val="%6."/>
      <w:lvlJc w:val="right"/>
      <w:pPr>
        <w:ind w:left="4320" w:hanging="180"/>
      </w:pPr>
    </w:lvl>
    <w:lvl w:ilvl="6" w:tplc="2416EBD2" w:tentative="1">
      <w:start w:val="1"/>
      <w:numFmt w:val="decimal"/>
      <w:lvlText w:val="%7."/>
      <w:lvlJc w:val="left"/>
      <w:pPr>
        <w:ind w:left="5040" w:hanging="360"/>
      </w:pPr>
    </w:lvl>
    <w:lvl w:ilvl="7" w:tplc="7312F124" w:tentative="1">
      <w:start w:val="1"/>
      <w:numFmt w:val="lowerLetter"/>
      <w:lvlText w:val="%8."/>
      <w:lvlJc w:val="left"/>
      <w:pPr>
        <w:ind w:left="5760" w:hanging="360"/>
      </w:pPr>
    </w:lvl>
    <w:lvl w:ilvl="8" w:tplc="8CB8F9D2" w:tentative="1">
      <w:start w:val="1"/>
      <w:numFmt w:val="lowerRoman"/>
      <w:lvlText w:val="%9."/>
      <w:lvlJc w:val="right"/>
      <w:pPr>
        <w:ind w:left="6480" w:hanging="180"/>
      </w:pPr>
    </w:lvl>
  </w:abstractNum>
  <w:abstractNum w:abstractNumId="7" w15:restartNumberingAfterBreak="0">
    <w:nsid w:val="35536248"/>
    <w:multiLevelType w:val="hybridMultilevel"/>
    <w:tmpl w:val="428A08EE"/>
    <w:lvl w:ilvl="0" w:tplc="7324A002">
      <w:start w:val="1"/>
      <w:numFmt w:val="lowerRoman"/>
      <w:lvlText w:val="%1."/>
      <w:lvlJc w:val="left"/>
      <w:pPr>
        <w:tabs>
          <w:tab w:val="num" w:pos="510"/>
        </w:tabs>
        <w:ind w:left="454" w:hanging="454"/>
      </w:pPr>
      <w:rPr>
        <w:rFonts w:hint="default"/>
        <w:b w:val="0"/>
      </w:rPr>
    </w:lvl>
    <w:lvl w:ilvl="1" w:tplc="05222900">
      <w:start w:val="1"/>
      <w:numFmt w:val="lowerLetter"/>
      <w:lvlText w:val="%2."/>
      <w:lvlJc w:val="left"/>
      <w:pPr>
        <w:tabs>
          <w:tab w:val="num" w:pos="1440"/>
        </w:tabs>
        <w:ind w:left="1440" w:hanging="360"/>
      </w:pPr>
    </w:lvl>
    <w:lvl w:ilvl="2" w:tplc="6D7EDE60" w:tentative="1">
      <w:start w:val="1"/>
      <w:numFmt w:val="lowerRoman"/>
      <w:lvlText w:val="%3."/>
      <w:lvlJc w:val="right"/>
      <w:pPr>
        <w:tabs>
          <w:tab w:val="num" w:pos="2160"/>
        </w:tabs>
        <w:ind w:left="2160" w:hanging="180"/>
      </w:pPr>
    </w:lvl>
    <w:lvl w:ilvl="3" w:tplc="886E716A" w:tentative="1">
      <w:start w:val="1"/>
      <w:numFmt w:val="decimal"/>
      <w:lvlText w:val="%4."/>
      <w:lvlJc w:val="left"/>
      <w:pPr>
        <w:tabs>
          <w:tab w:val="num" w:pos="2880"/>
        </w:tabs>
        <w:ind w:left="2880" w:hanging="360"/>
      </w:pPr>
    </w:lvl>
    <w:lvl w:ilvl="4" w:tplc="8C6A3D38" w:tentative="1">
      <w:start w:val="1"/>
      <w:numFmt w:val="lowerLetter"/>
      <w:lvlText w:val="%5."/>
      <w:lvlJc w:val="left"/>
      <w:pPr>
        <w:tabs>
          <w:tab w:val="num" w:pos="3600"/>
        </w:tabs>
        <w:ind w:left="3600" w:hanging="360"/>
      </w:pPr>
    </w:lvl>
    <w:lvl w:ilvl="5" w:tplc="21F6509E" w:tentative="1">
      <w:start w:val="1"/>
      <w:numFmt w:val="lowerRoman"/>
      <w:lvlText w:val="%6."/>
      <w:lvlJc w:val="right"/>
      <w:pPr>
        <w:tabs>
          <w:tab w:val="num" w:pos="4320"/>
        </w:tabs>
        <w:ind w:left="4320" w:hanging="180"/>
      </w:pPr>
    </w:lvl>
    <w:lvl w:ilvl="6" w:tplc="164A5900" w:tentative="1">
      <w:start w:val="1"/>
      <w:numFmt w:val="decimal"/>
      <w:lvlText w:val="%7."/>
      <w:lvlJc w:val="left"/>
      <w:pPr>
        <w:tabs>
          <w:tab w:val="num" w:pos="5040"/>
        </w:tabs>
        <w:ind w:left="5040" w:hanging="360"/>
      </w:pPr>
    </w:lvl>
    <w:lvl w:ilvl="7" w:tplc="B678BF0E" w:tentative="1">
      <w:start w:val="1"/>
      <w:numFmt w:val="lowerLetter"/>
      <w:lvlText w:val="%8."/>
      <w:lvlJc w:val="left"/>
      <w:pPr>
        <w:tabs>
          <w:tab w:val="num" w:pos="5760"/>
        </w:tabs>
        <w:ind w:left="5760" w:hanging="360"/>
      </w:pPr>
    </w:lvl>
    <w:lvl w:ilvl="8" w:tplc="FD927954" w:tentative="1">
      <w:start w:val="1"/>
      <w:numFmt w:val="lowerRoman"/>
      <w:lvlText w:val="%9."/>
      <w:lvlJc w:val="right"/>
      <w:pPr>
        <w:tabs>
          <w:tab w:val="num" w:pos="6480"/>
        </w:tabs>
        <w:ind w:left="6480" w:hanging="180"/>
      </w:pPr>
    </w:lvl>
  </w:abstractNum>
  <w:abstractNum w:abstractNumId="8" w15:restartNumberingAfterBreak="0">
    <w:nsid w:val="36AA4494"/>
    <w:multiLevelType w:val="hybridMultilevel"/>
    <w:tmpl w:val="594AC14E"/>
    <w:lvl w:ilvl="0" w:tplc="E0385CD2">
      <w:start w:val="1"/>
      <w:numFmt w:val="lowerLetter"/>
      <w:lvlText w:val="%1)"/>
      <w:lvlJc w:val="left"/>
      <w:pPr>
        <w:ind w:left="720" w:hanging="360"/>
      </w:pPr>
    </w:lvl>
    <w:lvl w:ilvl="1" w:tplc="596C0426" w:tentative="1">
      <w:start w:val="1"/>
      <w:numFmt w:val="lowerLetter"/>
      <w:lvlText w:val="%2."/>
      <w:lvlJc w:val="left"/>
      <w:pPr>
        <w:ind w:left="1440" w:hanging="360"/>
      </w:pPr>
    </w:lvl>
    <w:lvl w:ilvl="2" w:tplc="8BA245A2" w:tentative="1">
      <w:start w:val="1"/>
      <w:numFmt w:val="lowerRoman"/>
      <w:lvlText w:val="%3."/>
      <w:lvlJc w:val="right"/>
      <w:pPr>
        <w:ind w:left="2160" w:hanging="180"/>
      </w:pPr>
    </w:lvl>
    <w:lvl w:ilvl="3" w:tplc="BBFAF67A" w:tentative="1">
      <w:start w:val="1"/>
      <w:numFmt w:val="decimal"/>
      <w:lvlText w:val="%4."/>
      <w:lvlJc w:val="left"/>
      <w:pPr>
        <w:ind w:left="2880" w:hanging="360"/>
      </w:pPr>
    </w:lvl>
    <w:lvl w:ilvl="4" w:tplc="6B4A5CDE" w:tentative="1">
      <w:start w:val="1"/>
      <w:numFmt w:val="lowerLetter"/>
      <w:lvlText w:val="%5."/>
      <w:lvlJc w:val="left"/>
      <w:pPr>
        <w:ind w:left="3600" w:hanging="360"/>
      </w:pPr>
    </w:lvl>
    <w:lvl w:ilvl="5" w:tplc="3C0AD94C" w:tentative="1">
      <w:start w:val="1"/>
      <w:numFmt w:val="lowerRoman"/>
      <w:lvlText w:val="%6."/>
      <w:lvlJc w:val="right"/>
      <w:pPr>
        <w:ind w:left="4320" w:hanging="180"/>
      </w:pPr>
    </w:lvl>
    <w:lvl w:ilvl="6" w:tplc="E7B24F16" w:tentative="1">
      <w:start w:val="1"/>
      <w:numFmt w:val="decimal"/>
      <w:lvlText w:val="%7."/>
      <w:lvlJc w:val="left"/>
      <w:pPr>
        <w:ind w:left="5040" w:hanging="360"/>
      </w:pPr>
    </w:lvl>
    <w:lvl w:ilvl="7" w:tplc="4D460630" w:tentative="1">
      <w:start w:val="1"/>
      <w:numFmt w:val="lowerLetter"/>
      <w:lvlText w:val="%8."/>
      <w:lvlJc w:val="left"/>
      <w:pPr>
        <w:ind w:left="5760" w:hanging="360"/>
      </w:pPr>
    </w:lvl>
    <w:lvl w:ilvl="8" w:tplc="C6AA1968" w:tentative="1">
      <w:start w:val="1"/>
      <w:numFmt w:val="lowerRoman"/>
      <w:lvlText w:val="%9."/>
      <w:lvlJc w:val="right"/>
      <w:pPr>
        <w:ind w:left="6480" w:hanging="180"/>
      </w:pPr>
    </w:lvl>
  </w:abstractNum>
  <w:abstractNum w:abstractNumId="9" w15:restartNumberingAfterBreak="0">
    <w:nsid w:val="40176C4D"/>
    <w:multiLevelType w:val="hybridMultilevel"/>
    <w:tmpl w:val="1AE07732"/>
    <w:lvl w:ilvl="0" w:tplc="F0B6309A">
      <w:start w:val="1"/>
      <w:numFmt w:val="lowerRoman"/>
      <w:lvlText w:val="%1."/>
      <w:lvlJc w:val="right"/>
      <w:pPr>
        <w:ind w:left="720" w:hanging="360"/>
      </w:pPr>
    </w:lvl>
    <w:lvl w:ilvl="1" w:tplc="ED30F176" w:tentative="1">
      <w:start w:val="1"/>
      <w:numFmt w:val="lowerLetter"/>
      <w:lvlText w:val="%2."/>
      <w:lvlJc w:val="left"/>
      <w:pPr>
        <w:ind w:left="1440" w:hanging="360"/>
      </w:pPr>
    </w:lvl>
    <w:lvl w:ilvl="2" w:tplc="CE948FB2" w:tentative="1">
      <w:start w:val="1"/>
      <w:numFmt w:val="lowerRoman"/>
      <w:lvlText w:val="%3."/>
      <w:lvlJc w:val="right"/>
      <w:pPr>
        <w:ind w:left="2160" w:hanging="180"/>
      </w:pPr>
    </w:lvl>
    <w:lvl w:ilvl="3" w:tplc="0E120360" w:tentative="1">
      <w:start w:val="1"/>
      <w:numFmt w:val="decimal"/>
      <w:lvlText w:val="%4."/>
      <w:lvlJc w:val="left"/>
      <w:pPr>
        <w:ind w:left="2880" w:hanging="360"/>
      </w:pPr>
    </w:lvl>
    <w:lvl w:ilvl="4" w:tplc="CD5CD850" w:tentative="1">
      <w:start w:val="1"/>
      <w:numFmt w:val="lowerLetter"/>
      <w:lvlText w:val="%5."/>
      <w:lvlJc w:val="left"/>
      <w:pPr>
        <w:ind w:left="3600" w:hanging="360"/>
      </w:pPr>
    </w:lvl>
    <w:lvl w:ilvl="5" w:tplc="ED7C6CDE" w:tentative="1">
      <w:start w:val="1"/>
      <w:numFmt w:val="lowerRoman"/>
      <w:lvlText w:val="%6."/>
      <w:lvlJc w:val="right"/>
      <w:pPr>
        <w:ind w:left="4320" w:hanging="180"/>
      </w:pPr>
    </w:lvl>
    <w:lvl w:ilvl="6" w:tplc="F524EC14" w:tentative="1">
      <w:start w:val="1"/>
      <w:numFmt w:val="decimal"/>
      <w:lvlText w:val="%7."/>
      <w:lvlJc w:val="left"/>
      <w:pPr>
        <w:ind w:left="5040" w:hanging="360"/>
      </w:pPr>
    </w:lvl>
    <w:lvl w:ilvl="7" w:tplc="528E71AE" w:tentative="1">
      <w:start w:val="1"/>
      <w:numFmt w:val="lowerLetter"/>
      <w:lvlText w:val="%8."/>
      <w:lvlJc w:val="left"/>
      <w:pPr>
        <w:ind w:left="5760" w:hanging="360"/>
      </w:pPr>
    </w:lvl>
    <w:lvl w:ilvl="8" w:tplc="B904847C" w:tentative="1">
      <w:start w:val="1"/>
      <w:numFmt w:val="lowerRoman"/>
      <w:lvlText w:val="%9."/>
      <w:lvlJc w:val="right"/>
      <w:pPr>
        <w:ind w:left="6480" w:hanging="180"/>
      </w:pPr>
    </w:lvl>
  </w:abstractNum>
  <w:abstractNum w:abstractNumId="10" w15:restartNumberingAfterBreak="0">
    <w:nsid w:val="4A1723BF"/>
    <w:multiLevelType w:val="hybridMultilevel"/>
    <w:tmpl w:val="AFF28154"/>
    <w:lvl w:ilvl="0" w:tplc="FF284A4E">
      <w:start w:val="1"/>
      <w:numFmt w:val="bullet"/>
      <w:lvlText w:val=""/>
      <w:lvlJc w:val="left"/>
      <w:pPr>
        <w:ind w:left="720" w:hanging="360"/>
      </w:pPr>
      <w:rPr>
        <w:rFonts w:ascii="Symbol" w:hAnsi="Symbol" w:hint="default"/>
      </w:rPr>
    </w:lvl>
    <w:lvl w:ilvl="1" w:tplc="096CB354" w:tentative="1">
      <w:start w:val="1"/>
      <w:numFmt w:val="bullet"/>
      <w:lvlText w:val="o"/>
      <w:lvlJc w:val="left"/>
      <w:pPr>
        <w:ind w:left="1440" w:hanging="360"/>
      </w:pPr>
      <w:rPr>
        <w:rFonts w:ascii="Courier New" w:hAnsi="Courier New" w:cs="Courier New" w:hint="default"/>
      </w:rPr>
    </w:lvl>
    <w:lvl w:ilvl="2" w:tplc="4CF00D6A" w:tentative="1">
      <w:start w:val="1"/>
      <w:numFmt w:val="bullet"/>
      <w:lvlText w:val=""/>
      <w:lvlJc w:val="left"/>
      <w:pPr>
        <w:ind w:left="2160" w:hanging="360"/>
      </w:pPr>
      <w:rPr>
        <w:rFonts w:ascii="Wingdings" w:hAnsi="Wingdings" w:hint="default"/>
      </w:rPr>
    </w:lvl>
    <w:lvl w:ilvl="3" w:tplc="12BE79D4" w:tentative="1">
      <w:start w:val="1"/>
      <w:numFmt w:val="bullet"/>
      <w:lvlText w:val=""/>
      <w:lvlJc w:val="left"/>
      <w:pPr>
        <w:ind w:left="2880" w:hanging="360"/>
      </w:pPr>
      <w:rPr>
        <w:rFonts w:ascii="Symbol" w:hAnsi="Symbol" w:hint="default"/>
      </w:rPr>
    </w:lvl>
    <w:lvl w:ilvl="4" w:tplc="3F78289C" w:tentative="1">
      <w:start w:val="1"/>
      <w:numFmt w:val="bullet"/>
      <w:lvlText w:val="o"/>
      <w:lvlJc w:val="left"/>
      <w:pPr>
        <w:ind w:left="3600" w:hanging="360"/>
      </w:pPr>
      <w:rPr>
        <w:rFonts w:ascii="Courier New" w:hAnsi="Courier New" w:cs="Courier New" w:hint="default"/>
      </w:rPr>
    </w:lvl>
    <w:lvl w:ilvl="5" w:tplc="43A0DB5C" w:tentative="1">
      <w:start w:val="1"/>
      <w:numFmt w:val="bullet"/>
      <w:lvlText w:val=""/>
      <w:lvlJc w:val="left"/>
      <w:pPr>
        <w:ind w:left="4320" w:hanging="360"/>
      </w:pPr>
      <w:rPr>
        <w:rFonts w:ascii="Wingdings" w:hAnsi="Wingdings" w:hint="default"/>
      </w:rPr>
    </w:lvl>
    <w:lvl w:ilvl="6" w:tplc="EA9A92D8" w:tentative="1">
      <w:start w:val="1"/>
      <w:numFmt w:val="bullet"/>
      <w:lvlText w:val=""/>
      <w:lvlJc w:val="left"/>
      <w:pPr>
        <w:ind w:left="5040" w:hanging="360"/>
      </w:pPr>
      <w:rPr>
        <w:rFonts w:ascii="Symbol" w:hAnsi="Symbol" w:hint="default"/>
      </w:rPr>
    </w:lvl>
    <w:lvl w:ilvl="7" w:tplc="F9D4FD50" w:tentative="1">
      <w:start w:val="1"/>
      <w:numFmt w:val="bullet"/>
      <w:lvlText w:val="o"/>
      <w:lvlJc w:val="left"/>
      <w:pPr>
        <w:ind w:left="5760" w:hanging="360"/>
      </w:pPr>
      <w:rPr>
        <w:rFonts w:ascii="Courier New" w:hAnsi="Courier New" w:cs="Courier New" w:hint="default"/>
      </w:rPr>
    </w:lvl>
    <w:lvl w:ilvl="8" w:tplc="A8F4145A" w:tentative="1">
      <w:start w:val="1"/>
      <w:numFmt w:val="bullet"/>
      <w:lvlText w:val=""/>
      <w:lvlJc w:val="left"/>
      <w:pPr>
        <w:ind w:left="6480" w:hanging="360"/>
      </w:pPr>
      <w:rPr>
        <w:rFonts w:ascii="Wingdings" w:hAnsi="Wingdings" w:hint="default"/>
      </w:rPr>
    </w:lvl>
  </w:abstractNum>
  <w:abstractNum w:abstractNumId="11" w15:restartNumberingAfterBreak="0">
    <w:nsid w:val="507268FE"/>
    <w:multiLevelType w:val="hybridMultilevel"/>
    <w:tmpl w:val="64A0D6E2"/>
    <w:lvl w:ilvl="0" w:tplc="8D00C43E">
      <w:start w:val="1"/>
      <w:numFmt w:val="bullet"/>
      <w:lvlText w:val=""/>
      <w:lvlJc w:val="left"/>
      <w:pPr>
        <w:ind w:left="720" w:hanging="360"/>
      </w:pPr>
      <w:rPr>
        <w:rFonts w:ascii="Symbol" w:hAnsi="Symbol" w:hint="default"/>
      </w:rPr>
    </w:lvl>
    <w:lvl w:ilvl="1" w:tplc="1B62FA12" w:tentative="1">
      <w:start w:val="1"/>
      <w:numFmt w:val="bullet"/>
      <w:lvlText w:val="o"/>
      <w:lvlJc w:val="left"/>
      <w:pPr>
        <w:ind w:left="1440" w:hanging="360"/>
      </w:pPr>
      <w:rPr>
        <w:rFonts w:ascii="Courier New" w:hAnsi="Courier New" w:cs="Courier New" w:hint="default"/>
      </w:rPr>
    </w:lvl>
    <w:lvl w:ilvl="2" w:tplc="13B44FCA" w:tentative="1">
      <w:start w:val="1"/>
      <w:numFmt w:val="bullet"/>
      <w:lvlText w:val=""/>
      <w:lvlJc w:val="left"/>
      <w:pPr>
        <w:ind w:left="2160" w:hanging="360"/>
      </w:pPr>
      <w:rPr>
        <w:rFonts w:ascii="Wingdings" w:hAnsi="Wingdings" w:hint="default"/>
      </w:rPr>
    </w:lvl>
    <w:lvl w:ilvl="3" w:tplc="6FDE02DE" w:tentative="1">
      <w:start w:val="1"/>
      <w:numFmt w:val="bullet"/>
      <w:lvlText w:val=""/>
      <w:lvlJc w:val="left"/>
      <w:pPr>
        <w:ind w:left="2880" w:hanging="360"/>
      </w:pPr>
      <w:rPr>
        <w:rFonts w:ascii="Symbol" w:hAnsi="Symbol" w:hint="default"/>
      </w:rPr>
    </w:lvl>
    <w:lvl w:ilvl="4" w:tplc="432EBE38" w:tentative="1">
      <w:start w:val="1"/>
      <w:numFmt w:val="bullet"/>
      <w:lvlText w:val="o"/>
      <w:lvlJc w:val="left"/>
      <w:pPr>
        <w:ind w:left="3600" w:hanging="360"/>
      </w:pPr>
      <w:rPr>
        <w:rFonts w:ascii="Courier New" w:hAnsi="Courier New" w:cs="Courier New" w:hint="default"/>
      </w:rPr>
    </w:lvl>
    <w:lvl w:ilvl="5" w:tplc="08726052" w:tentative="1">
      <w:start w:val="1"/>
      <w:numFmt w:val="bullet"/>
      <w:lvlText w:val=""/>
      <w:lvlJc w:val="left"/>
      <w:pPr>
        <w:ind w:left="4320" w:hanging="360"/>
      </w:pPr>
      <w:rPr>
        <w:rFonts w:ascii="Wingdings" w:hAnsi="Wingdings" w:hint="default"/>
      </w:rPr>
    </w:lvl>
    <w:lvl w:ilvl="6" w:tplc="8D5A2F76" w:tentative="1">
      <w:start w:val="1"/>
      <w:numFmt w:val="bullet"/>
      <w:lvlText w:val=""/>
      <w:lvlJc w:val="left"/>
      <w:pPr>
        <w:ind w:left="5040" w:hanging="360"/>
      </w:pPr>
      <w:rPr>
        <w:rFonts w:ascii="Symbol" w:hAnsi="Symbol" w:hint="default"/>
      </w:rPr>
    </w:lvl>
    <w:lvl w:ilvl="7" w:tplc="202A46CE" w:tentative="1">
      <w:start w:val="1"/>
      <w:numFmt w:val="bullet"/>
      <w:lvlText w:val="o"/>
      <w:lvlJc w:val="left"/>
      <w:pPr>
        <w:ind w:left="5760" w:hanging="360"/>
      </w:pPr>
      <w:rPr>
        <w:rFonts w:ascii="Courier New" w:hAnsi="Courier New" w:cs="Courier New" w:hint="default"/>
      </w:rPr>
    </w:lvl>
    <w:lvl w:ilvl="8" w:tplc="E4B6A40C" w:tentative="1">
      <w:start w:val="1"/>
      <w:numFmt w:val="bullet"/>
      <w:lvlText w:val=""/>
      <w:lvlJc w:val="left"/>
      <w:pPr>
        <w:ind w:left="6480" w:hanging="360"/>
      </w:pPr>
      <w:rPr>
        <w:rFonts w:ascii="Wingdings" w:hAnsi="Wingdings" w:hint="default"/>
      </w:rPr>
    </w:lvl>
  </w:abstractNum>
  <w:abstractNum w:abstractNumId="12" w15:restartNumberingAfterBreak="0">
    <w:nsid w:val="589179FD"/>
    <w:multiLevelType w:val="hybridMultilevel"/>
    <w:tmpl w:val="5768836A"/>
    <w:lvl w:ilvl="0" w:tplc="F3FE02EC">
      <w:start w:val="1"/>
      <w:numFmt w:val="bullet"/>
      <w:lvlText w:val=""/>
      <w:lvlJc w:val="left"/>
      <w:pPr>
        <w:ind w:left="720" w:hanging="360"/>
      </w:pPr>
      <w:rPr>
        <w:rFonts w:ascii="Symbol" w:hAnsi="Symbol" w:hint="default"/>
      </w:rPr>
    </w:lvl>
    <w:lvl w:ilvl="1" w:tplc="7E865444" w:tentative="1">
      <w:start w:val="1"/>
      <w:numFmt w:val="bullet"/>
      <w:lvlText w:val="o"/>
      <w:lvlJc w:val="left"/>
      <w:pPr>
        <w:ind w:left="1440" w:hanging="360"/>
      </w:pPr>
      <w:rPr>
        <w:rFonts w:ascii="Courier New" w:hAnsi="Courier New" w:cs="Courier New" w:hint="default"/>
      </w:rPr>
    </w:lvl>
    <w:lvl w:ilvl="2" w:tplc="1FE29F64" w:tentative="1">
      <w:start w:val="1"/>
      <w:numFmt w:val="bullet"/>
      <w:lvlText w:val=""/>
      <w:lvlJc w:val="left"/>
      <w:pPr>
        <w:ind w:left="2160" w:hanging="360"/>
      </w:pPr>
      <w:rPr>
        <w:rFonts w:ascii="Wingdings" w:hAnsi="Wingdings" w:hint="default"/>
      </w:rPr>
    </w:lvl>
    <w:lvl w:ilvl="3" w:tplc="519EA44A" w:tentative="1">
      <w:start w:val="1"/>
      <w:numFmt w:val="bullet"/>
      <w:lvlText w:val=""/>
      <w:lvlJc w:val="left"/>
      <w:pPr>
        <w:ind w:left="2880" w:hanging="360"/>
      </w:pPr>
      <w:rPr>
        <w:rFonts w:ascii="Symbol" w:hAnsi="Symbol" w:hint="default"/>
      </w:rPr>
    </w:lvl>
    <w:lvl w:ilvl="4" w:tplc="492EC3CC" w:tentative="1">
      <w:start w:val="1"/>
      <w:numFmt w:val="bullet"/>
      <w:lvlText w:val="o"/>
      <w:lvlJc w:val="left"/>
      <w:pPr>
        <w:ind w:left="3600" w:hanging="360"/>
      </w:pPr>
      <w:rPr>
        <w:rFonts w:ascii="Courier New" w:hAnsi="Courier New" w:cs="Courier New" w:hint="default"/>
      </w:rPr>
    </w:lvl>
    <w:lvl w:ilvl="5" w:tplc="0526E9A2" w:tentative="1">
      <w:start w:val="1"/>
      <w:numFmt w:val="bullet"/>
      <w:lvlText w:val=""/>
      <w:lvlJc w:val="left"/>
      <w:pPr>
        <w:ind w:left="4320" w:hanging="360"/>
      </w:pPr>
      <w:rPr>
        <w:rFonts w:ascii="Wingdings" w:hAnsi="Wingdings" w:hint="default"/>
      </w:rPr>
    </w:lvl>
    <w:lvl w:ilvl="6" w:tplc="9D10E318" w:tentative="1">
      <w:start w:val="1"/>
      <w:numFmt w:val="bullet"/>
      <w:lvlText w:val=""/>
      <w:lvlJc w:val="left"/>
      <w:pPr>
        <w:ind w:left="5040" w:hanging="360"/>
      </w:pPr>
      <w:rPr>
        <w:rFonts w:ascii="Symbol" w:hAnsi="Symbol" w:hint="default"/>
      </w:rPr>
    </w:lvl>
    <w:lvl w:ilvl="7" w:tplc="C7D86524" w:tentative="1">
      <w:start w:val="1"/>
      <w:numFmt w:val="bullet"/>
      <w:lvlText w:val="o"/>
      <w:lvlJc w:val="left"/>
      <w:pPr>
        <w:ind w:left="5760" w:hanging="360"/>
      </w:pPr>
      <w:rPr>
        <w:rFonts w:ascii="Courier New" w:hAnsi="Courier New" w:cs="Courier New" w:hint="default"/>
      </w:rPr>
    </w:lvl>
    <w:lvl w:ilvl="8" w:tplc="852EB7A6" w:tentative="1">
      <w:start w:val="1"/>
      <w:numFmt w:val="bullet"/>
      <w:lvlText w:val=""/>
      <w:lvlJc w:val="left"/>
      <w:pPr>
        <w:ind w:left="6480" w:hanging="360"/>
      </w:pPr>
      <w:rPr>
        <w:rFonts w:ascii="Wingdings" w:hAnsi="Wingdings" w:hint="default"/>
      </w:rPr>
    </w:lvl>
  </w:abstractNum>
  <w:abstractNum w:abstractNumId="13" w15:restartNumberingAfterBreak="0">
    <w:nsid w:val="5F712DEC"/>
    <w:multiLevelType w:val="hybridMultilevel"/>
    <w:tmpl w:val="080E3A3C"/>
    <w:lvl w:ilvl="0" w:tplc="6A687482">
      <w:start w:val="1"/>
      <w:numFmt w:val="upperRoman"/>
      <w:lvlText w:val="%1."/>
      <w:lvlJc w:val="right"/>
      <w:pPr>
        <w:ind w:left="720" w:hanging="180"/>
      </w:pPr>
    </w:lvl>
    <w:lvl w:ilvl="1" w:tplc="012C55B6" w:tentative="1">
      <w:start w:val="1"/>
      <w:numFmt w:val="lowerLetter"/>
      <w:lvlText w:val="%2."/>
      <w:lvlJc w:val="left"/>
      <w:pPr>
        <w:ind w:left="1440" w:hanging="360"/>
      </w:pPr>
    </w:lvl>
    <w:lvl w:ilvl="2" w:tplc="BC966AD6" w:tentative="1">
      <w:start w:val="1"/>
      <w:numFmt w:val="lowerRoman"/>
      <w:lvlText w:val="%3."/>
      <w:lvlJc w:val="right"/>
      <w:pPr>
        <w:ind w:left="2160" w:hanging="180"/>
      </w:pPr>
    </w:lvl>
    <w:lvl w:ilvl="3" w:tplc="F62ED1A8" w:tentative="1">
      <w:start w:val="1"/>
      <w:numFmt w:val="decimal"/>
      <w:lvlText w:val="%4."/>
      <w:lvlJc w:val="left"/>
      <w:pPr>
        <w:ind w:left="2880" w:hanging="360"/>
      </w:pPr>
    </w:lvl>
    <w:lvl w:ilvl="4" w:tplc="C094758E" w:tentative="1">
      <w:start w:val="1"/>
      <w:numFmt w:val="lowerLetter"/>
      <w:lvlText w:val="%5."/>
      <w:lvlJc w:val="left"/>
      <w:pPr>
        <w:ind w:left="3600" w:hanging="360"/>
      </w:pPr>
    </w:lvl>
    <w:lvl w:ilvl="5" w:tplc="4D4A8FD4" w:tentative="1">
      <w:start w:val="1"/>
      <w:numFmt w:val="lowerRoman"/>
      <w:lvlText w:val="%6."/>
      <w:lvlJc w:val="right"/>
      <w:pPr>
        <w:ind w:left="4320" w:hanging="180"/>
      </w:pPr>
    </w:lvl>
    <w:lvl w:ilvl="6" w:tplc="37FADF0A" w:tentative="1">
      <w:start w:val="1"/>
      <w:numFmt w:val="decimal"/>
      <w:lvlText w:val="%7."/>
      <w:lvlJc w:val="left"/>
      <w:pPr>
        <w:ind w:left="5040" w:hanging="360"/>
      </w:pPr>
    </w:lvl>
    <w:lvl w:ilvl="7" w:tplc="43D4AF14" w:tentative="1">
      <w:start w:val="1"/>
      <w:numFmt w:val="lowerLetter"/>
      <w:lvlText w:val="%8."/>
      <w:lvlJc w:val="left"/>
      <w:pPr>
        <w:ind w:left="5760" w:hanging="360"/>
      </w:pPr>
    </w:lvl>
    <w:lvl w:ilvl="8" w:tplc="470CEBBE" w:tentative="1">
      <w:start w:val="1"/>
      <w:numFmt w:val="lowerRoman"/>
      <w:lvlText w:val="%9."/>
      <w:lvlJc w:val="right"/>
      <w:pPr>
        <w:ind w:left="6480" w:hanging="180"/>
      </w:pPr>
    </w:lvl>
  </w:abstractNum>
  <w:abstractNum w:abstractNumId="14" w15:restartNumberingAfterBreak="0">
    <w:nsid w:val="602C4589"/>
    <w:multiLevelType w:val="hybridMultilevel"/>
    <w:tmpl w:val="D1F8D78A"/>
    <w:lvl w:ilvl="0" w:tplc="929290F2">
      <w:start w:val="1"/>
      <w:numFmt w:val="bullet"/>
      <w:lvlText w:val=""/>
      <w:lvlJc w:val="left"/>
      <w:pPr>
        <w:ind w:left="720" w:hanging="360"/>
      </w:pPr>
      <w:rPr>
        <w:rFonts w:ascii="Symbol" w:hAnsi="Symbol" w:hint="default"/>
      </w:rPr>
    </w:lvl>
    <w:lvl w:ilvl="1" w:tplc="F976AC8C" w:tentative="1">
      <w:start w:val="1"/>
      <w:numFmt w:val="bullet"/>
      <w:lvlText w:val="o"/>
      <w:lvlJc w:val="left"/>
      <w:pPr>
        <w:ind w:left="1440" w:hanging="360"/>
      </w:pPr>
      <w:rPr>
        <w:rFonts w:ascii="Courier New" w:hAnsi="Courier New" w:cs="Courier New" w:hint="default"/>
      </w:rPr>
    </w:lvl>
    <w:lvl w:ilvl="2" w:tplc="2C5AF9BC" w:tentative="1">
      <w:start w:val="1"/>
      <w:numFmt w:val="bullet"/>
      <w:lvlText w:val=""/>
      <w:lvlJc w:val="left"/>
      <w:pPr>
        <w:ind w:left="2160" w:hanging="360"/>
      </w:pPr>
      <w:rPr>
        <w:rFonts w:ascii="Wingdings" w:hAnsi="Wingdings" w:hint="default"/>
      </w:rPr>
    </w:lvl>
    <w:lvl w:ilvl="3" w:tplc="3EC44E5A" w:tentative="1">
      <w:start w:val="1"/>
      <w:numFmt w:val="bullet"/>
      <w:lvlText w:val=""/>
      <w:lvlJc w:val="left"/>
      <w:pPr>
        <w:ind w:left="2880" w:hanging="360"/>
      </w:pPr>
      <w:rPr>
        <w:rFonts w:ascii="Symbol" w:hAnsi="Symbol" w:hint="default"/>
      </w:rPr>
    </w:lvl>
    <w:lvl w:ilvl="4" w:tplc="5AF02164" w:tentative="1">
      <w:start w:val="1"/>
      <w:numFmt w:val="bullet"/>
      <w:lvlText w:val="o"/>
      <w:lvlJc w:val="left"/>
      <w:pPr>
        <w:ind w:left="3600" w:hanging="360"/>
      </w:pPr>
      <w:rPr>
        <w:rFonts w:ascii="Courier New" w:hAnsi="Courier New" w:cs="Courier New" w:hint="default"/>
      </w:rPr>
    </w:lvl>
    <w:lvl w:ilvl="5" w:tplc="4D0C38D8" w:tentative="1">
      <w:start w:val="1"/>
      <w:numFmt w:val="bullet"/>
      <w:lvlText w:val=""/>
      <w:lvlJc w:val="left"/>
      <w:pPr>
        <w:ind w:left="4320" w:hanging="360"/>
      </w:pPr>
      <w:rPr>
        <w:rFonts w:ascii="Wingdings" w:hAnsi="Wingdings" w:hint="default"/>
      </w:rPr>
    </w:lvl>
    <w:lvl w:ilvl="6" w:tplc="41A00AEE" w:tentative="1">
      <w:start w:val="1"/>
      <w:numFmt w:val="bullet"/>
      <w:lvlText w:val=""/>
      <w:lvlJc w:val="left"/>
      <w:pPr>
        <w:ind w:left="5040" w:hanging="360"/>
      </w:pPr>
      <w:rPr>
        <w:rFonts w:ascii="Symbol" w:hAnsi="Symbol" w:hint="default"/>
      </w:rPr>
    </w:lvl>
    <w:lvl w:ilvl="7" w:tplc="910ACC4C" w:tentative="1">
      <w:start w:val="1"/>
      <w:numFmt w:val="bullet"/>
      <w:lvlText w:val="o"/>
      <w:lvlJc w:val="left"/>
      <w:pPr>
        <w:ind w:left="5760" w:hanging="360"/>
      </w:pPr>
      <w:rPr>
        <w:rFonts w:ascii="Courier New" w:hAnsi="Courier New" w:cs="Courier New" w:hint="default"/>
      </w:rPr>
    </w:lvl>
    <w:lvl w:ilvl="8" w:tplc="2FFA09DA" w:tentative="1">
      <w:start w:val="1"/>
      <w:numFmt w:val="bullet"/>
      <w:lvlText w:val=""/>
      <w:lvlJc w:val="left"/>
      <w:pPr>
        <w:ind w:left="6480" w:hanging="360"/>
      </w:pPr>
      <w:rPr>
        <w:rFonts w:ascii="Wingdings" w:hAnsi="Wingdings" w:hint="default"/>
      </w:rPr>
    </w:lvl>
  </w:abstractNum>
  <w:abstractNum w:abstractNumId="15" w15:restartNumberingAfterBreak="0">
    <w:nsid w:val="609F7C35"/>
    <w:multiLevelType w:val="hybridMultilevel"/>
    <w:tmpl w:val="92E01382"/>
    <w:lvl w:ilvl="0" w:tplc="9BA6BE58">
      <w:start w:val="1"/>
      <w:numFmt w:val="bullet"/>
      <w:lvlText w:val=""/>
      <w:lvlJc w:val="left"/>
      <w:pPr>
        <w:ind w:left="720" w:hanging="360"/>
      </w:pPr>
      <w:rPr>
        <w:rFonts w:ascii="Symbol" w:hAnsi="Symbol" w:hint="default"/>
      </w:rPr>
    </w:lvl>
    <w:lvl w:ilvl="1" w:tplc="EF36B4EE" w:tentative="1">
      <w:start w:val="1"/>
      <w:numFmt w:val="bullet"/>
      <w:lvlText w:val="o"/>
      <w:lvlJc w:val="left"/>
      <w:pPr>
        <w:ind w:left="1440" w:hanging="360"/>
      </w:pPr>
      <w:rPr>
        <w:rFonts w:ascii="Courier New" w:hAnsi="Courier New" w:cs="Courier New" w:hint="default"/>
      </w:rPr>
    </w:lvl>
    <w:lvl w:ilvl="2" w:tplc="ABD80E4C" w:tentative="1">
      <w:start w:val="1"/>
      <w:numFmt w:val="bullet"/>
      <w:lvlText w:val=""/>
      <w:lvlJc w:val="left"/>
      <w:pPr>
        <w:ind w:left="2160" w:hanging="360"/>
      </w:pPr>
      <w:rPr>
        <w:rFonts w:ascii="Wingdings" w:hAnsi="Wingdings" w:hint="default"/>
      </w:rPr>
    </w:lvl>
    <w:lvl w:ilvl="3" w:tplc="BC465D3E" w:tentative="1">
      <w:start w:val="1"/>
      <w:numFmt w:val="bullet"/>
      <w:lvlText w:val=""/>
      <w:lvlJc w:val="left"/>
      <w:pPr>
        <w:ind w:left="2880" w:hanging="360"/>
      </w:pPr>
      <w:rPr>
        <w:rFonts w:ascii="Symbol" w:hAnsi="Symbol" w:hint="default"/>
      </w:rPr>
    </w:lvl>
    <w:lvl w:ilvl="4" w:tplc="9E56CD76" w:tentative="1">
      <w:start w:val="1"/>
      <w:numFmt w:val="bullet"/>
      <w:lvlText w:val="o"/>
      <w:lvlJc w:val="left"/>
      <w:pPr>
        <w:ind w:left="3600" w:hanging="360"/>
      </w:pPr>
      <w:rPr>
        <w:rFonts w:ascii="Courier New" w:hAnsi="Courier New" w:cs="Courier New" w:hint="default"/>
      </w:rPr>
    </w:lvl>
    <w:lvl w:ilvl="5" w:tplc="DBA6ED02" w:tentative="1">
      <w:start w:val="1"/>
      <w:numFmt w:val="bullet"/>
      <w:lvlText w:val=""/>
      <w:lvlJc w:val="left"/>
      <w:pPr>
        <w:ind w:left="4320" w:hanging="360"/>
      </w:pPr>
      <w:rPr>
        <w:rFonts w:ascii="Wingdings" w:hAnsi="Wingdings" w:hint="default"/>
      </w:rPr>
    </w:lvl>
    <w:lvl w:ilvl="6" w:tplc="086A2AB2" w:tentative="1">
      <w:start w:val="1"/>
      <w:numFmt w:val="bullet"/>
      <w:lvlText w:val=""/>
      <w:lvlJc w:val="left"/>
      <w:pPr>
        <w:ind w:left="5040" w:hanging="360"/>
      </w:pPr>
      <w:rPr>
        <w:rFonts w:ascii="Symbol" w:hAnsi="Symbol" w:hint="default"/>
      </w:rPr>
    </w:lvl>
    <w:lvl w:ilvl="7" w:tplc="75E2FCDC" w:tentative="1">
      <w:start w:val="1"/>
      <w:numFmt w:val="bullet"/>
      <w:lvlText w:val="o"/>
      <w:lvlJc w:val="left"/>
      <w:pPr>
        <w:ind w:left="5760" w:hanging="360"/>
      </w:pPr>
      <w:rPr>
        <w:rFonts w:ascii="Courier New" w:hAnsi="Courier New" w:cs="Courier New" w:hint="default"/>
      </w:rPr>
    </w:lvl>
    <w:lvl w:ilvl="8" w:tplc="252A3AFE" w:tentative="1">
      <w:start w:val="1"/>
      <w:numFmt w:val="bullet"/>
      <w:lvlText w:val=""/>
      <w:lvlJc w:val="left"/>
      <w:pPr>
        <w:ind w:left="6480" w:hanging="360"/>
      </w:pPr>
      <w:rPr>
        <w:rFonts w:ascii="Wingdings" w:hAnsi="Wingdings" w:hint="default"/>
      </w:rPr>
    </w:lvl>
  </w:abstractNum>
  <w:abstractNum w:abstractNumId="16" w15:restartNumberingAfterBreak="0">
    <w:nsid w:val="72784016"/>
    <w:multiLevelType w:val="hybridMultilevel"/>
    <w:tmpl w:val="AEEC19FC"/>
    <w:lvl w:ilvl="0" w:tplc="79449C64">
      <w:start w:val="1"/>
      <w:numFmt w:val="upperRoman"/>
      <w:lvlText w:val="%1."/>
      <w:lvlJc w:val="right"/>
      <w:pPr>
        <w:ind w:left="720" w:hanging="180"/>
      </w:pPr>
    </w:lvl>
    <w:lvl w:ilvl="1" w:tplc="43D4A104" w:tentative="1">
      <w:start w:val="1"/>
      <w:numFmt w:val="lowerLetter"/>
      <w:lvlText w:val="%2."/>
      <w:lvlJc w:val="left"/>
      <w:pPr>
        <w:ind w:left="1440" w:hanging="360"/>
      </w:pPr>
    </w:lvl>
    <w:lvl w:ilvl="2" w:tplc="ADF62D4A" w:tentative="1">
      <w:start w:val="1"/>
      <w:numFmt w:val="lowerRoman"/>
      <w:lvlText w:val="%3."/>
      <w:lvlJc w:val="right"/>
      <w:pPr>
        <w:ind w:left="2160" w:hanging="180"/>
      </w:pPr>
    </w:lvl>
    <w:lvl w:ilvl="3" w:tplc="BE880EDA" w:tentative="1">
      <w:start w:val="1"/>
      <w:numFmt w:val="decimal"/>
      <w:lvlText w:val="%4."/>
      <w:lvlJc w:val="left"/>
      <w:pPr>
        <w:ind w:left="2880" w:hanging="360"/>
      </w:pPr>
    </w:lvl>
    <w:lvl w:ilvl="4" w:tplc="26282E42" w:tentative="1">
      <w:start w:val="1"/>
      <w:numFmt w:val="lowerLetter"/>
      <w:lvlText w:val="%5."/>
      <w:lvlJc w:val="left"/>
      <w:pPr>
        <w:ind w:left="3600" w:hanging="360"/>
      </w:pPr>
    </w:lvl>
    <w:lvl w:ilvl="5" w:tplc="F566E510" w:tentative="1">
      <w:start w:val="1"/>
      <w:numFmt w:val="lowerRoman"/>
      <w:lvlText w:val="%6."/>
      <w:lvlJc w:val="right"/>
      <w:pPr>
        <w:ind w:left="4320" w:hanging="180"/>
      </w:pPr>
    </w:lvl>
    <w:lvl w:ilvl="6" w:tplc="376A3AE0" w:tentative="1">
      <w:start w:val="1"/>
      <w:numFmt w:val="decimal"/>
      <w:lvlText w:val="%7."/>
      <w:lvlJc w:val="left"/>
      <w:pPr>
        <w:ind w:left="5040" w:hanging="360"/>
      </w:pPr>
    </w:lvl>
    <w:lvl w:ilvl="7" w:tplc="1012F4A4" w:tentative="1">
      <w:start w:val="1"/>
      <w:numFmt w:val="lowerLetter"/>
      <w:lvlText w:val="%8."/>
      <w:lvlJc w:val="left"/>
      <w:pPr>
        <w:ind w:left="5760" w:hanging="360"/>
      </w:pPr>
    </w:lvl>
    <w:lvl w:ilvl="8" w:tplc="FE1C3234" w:tentative="1">
      <w:start w:val="1"/>
      <w:numFmt w:val="lowerRoman"/>
      <w:lvlText w:val="%9."/>
      <w:lvlJc w:val="right"/>
      <w:pPr>
        <w:ind w:left="6480" w:hanging="180"/>
      </w:pPr>
    </w:lvl>
  </w:abstractNum>
  <w:abstractNum w:abstractNumId="17" w15:restartNumberingAfterBreak="0">
    <w:nsid w:val="7C744462"/>
    <w:multiLevelType w:val="hybridMultilevel"/>
    <w:tmpl w:val="38E4F3AA"/>
    <w:lvl w:ilvl="0" w:tplc="26480888">
      <w:start w:val="1"/>
      <w:numFmt w:val="bullet"/>
      <w:lvlText w:val=""/>
      <w:lvlJc w:val="left"/>
      <w:pPr>
        <w:ind w:left="720" w:hanging="360"/>
      </w:pPr>
      <w:rPr>
        <w:rFonts w:ascii="Symbol" w:hAnsi="Symbol" w:hint="default"/>
      </w:rPr>
    </w:lvl>
    <w:lvl w:ilvl="1" w:tplc="B6E4EBB2" w:tentative="1">
      <w:start w:val="1"/>
      <w:numFmt w:val="bullet"/>
      <w:lvlText w:val="o"/>
      <w:lvlJc w:val="left"/>
      <w:pPr>
        <w:ind w:left="1440" w:hanging="360"/>
      </w:pPr>
      <w:rPr>
        <w:rFonts w:ascii="Courier New" w:hAnsi="Courier New" w:cs="Courier New" w:hint="default"/>
      </w:rPr>
    </w:lvl>
    <w:lvl w:ilvl="2" w:tplc="B1CA04C8" w:tentative="1">
      <w:start w:val="1"/>
      <w:numFmt w:val="bullet"/>
      <w:lvlText w:val=""/>
      <w:lvlJc w:val="left"/>
      <w:pPr>
        <w:ind w:left="2160" w:hanging="360"/>
      </w:pPr>
      <w:rPr>
        <w:rFonts w:ascii="Wingdings" w:hAnsi="Wingdings" w:hint="default"/>
      </w:rPr>
    </w:lvl>
    <w:lvl w:ilvl="3" w:tplc="E2D236D8" w:tentative="1">
      <w:start w:val="1"/>
      <w:numFmt w:val="bullet"/>
      <w:lvlText w:val=""/>
      <w:lvlJc w:val="left"/>
      <w:pPr>
        <w:ind w:left="2880" w:hanging="360"/>
      </w:pPr>
      <w:rPr>
        <w:rFonts w:ascii="Symbol" w:hAnsi="Symbol" w:hint="default"/>
      </w:rPr>
    </w:lvl>
    <w:lvl w:ilvl="4" w:tplc="864EDD1A" w:tentative="1">
      <w:start w:val="1"/>
      <w:numFmt w:val="bullet"/>
      <w:lvlText w:val="o"/>
      <w:lvlJc w:val="left"/>
      <w:pPr>
        <w:ind w:left="3600" w:hanging="360"/>
      </w:pPr>
      <w:rPr>
        <w:rFonts w:ascii="Courier New" w:hAnsi="Courier New" w:cs="Courier New" w:hint="default"/>
      </w:rPr>
    </w:lvl>
    <w:lvl w:ilvl="5" w:tplc="C53C17C6" w:tentative="1">
      <w:start w:val="1"/>
      <w:numFmt w:val="bullet"/>
      <w:lvlText w:val=""/>
      <w:lvlJc w:val="left"/>
      <w:pPr>
        <w:ind w:left="4320" w:hanging="360"/>
      </w:pPr>
      <w:rPr>
        <w:rFonts w:ascii="Wingdings" w:hAnsi="Wingdings" w:hint="default"/>
      </w:rPr>
    </w:lvl>
    <w:lvl w:ilvl="6" w:tplc="8FF077B4" w:tentative="1">
      <w:start w:val="1"/>
      <w:numFmt w:val="bullet"/>
      <w:lvlText w:val=""/>
      <w:lvlJc w:val="left"/>
      <w:pPr>
        <w:ind w:left="5040" w:hanging="360"/>
      </w:pPr>
      <w:rPr>
        <w:rFonts w:ascii="Symbol" w:hAnsi="Symbol" w:hint="default"/>
      </w:rPr>
    </w:lvl>
    <w:lvl w:ilvl="7" w:tplc="A4B8DADC" w:tentative="1">
      <w:start w:val="1"/>
      <w:numFmt w:val="bullet"/>
      <w:lvlText w:val="o"/>
      <w:lvlJc w:val="left"/>
      <w:pPr>
        <w:ind w:left="5760" w:hanging="360"/>
      </w:pPr>
      <w:rPr>
        <w:rFonts w:ascii="Courier New" w:hAnsi="Courier New" w:cs="Courier New" w:hint="default"/>
      </w:rPr>
    </w:lvl>
    <w:lvl w:ilvl="8" w:tplc="B1825792"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0"/>
  </w:num>
  <w:num w:numId="5">
    <w:abstractNumId w:val="7"/>
  </w:num>
  <w:num w:numId="6">
    <w:abstractNumId w:val="11"/>
  </w:num>
  <w:num w:numId="7">
    <w:abstractNumId w:val="14"/>
  </w:num>
  <w:num w:numId="8">
    <w:abstractNumId w:val="4"/>
  </w:num>
  <w:num w:numId="9">
    <w:abstractNumId w:val="13"/>
  </w:num>
  <w:num w:numId="10">
    <w:abstractNumId w:val="16"/>
  </w:num>
  <w:num w:numId="11">
    <w:abstractNumId w:val="12"/>
  </w:num>
  <w:num w:numId="12">
    <w:abstractNumId w:val="10"/>
  </w:num>
  <w:num w:numId="13">
    <w:abstractNumId w:val="5"/>
  </w:num>
  <w:num w:numId="14">
    <w:abstractNumId w:val="9"/>
  </w:num>
  <w:num w:numId="15">
    <w:abstractNumId w:val="1"/>
  </w:num>
  <w:num w:numId="16">
    <w:abstractNumId w:val="3"/>
  </w:num>
  <w:num w:numId="17">
    <w:abstractNumId w:val="6"/>
  </w:num>
  <w:num w:numId="18">
    <w:abstractNumId w:val="2"/>
  </w:num>
  <w:num w:numId="19">
    <w:abstractNumId w:val="2"/>
    <w:lvlOverride w:ilvl="0">
      <w:startOverride w:val="1"/>
    </w:lvlOverride>
  </w:num>
  <w:num w:numId="20">
    <w:abstractNumId w:val="2"/>
    <w:lvlOverride w:ilvl="0">
      <w:startOverride w:val="3"/>
    </w:lvlOverride>
  </w:num>
  <w:num w:numId="21">
    <w:abstractNumId w:val="2"/>
  </w:num>
  <w:num w:numId="22">
    <w:abstractNumId w:val="2"/>
  </w:num>
  <w:num w:numId="23">
    <w:abstractNumId w:val="2"/>
  </w:num>
  <w:num w:numId="24">
    <w:abstractNumId w:val="2"/>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F6"/>
    <w:rsid w:val="00767CF6"/>
    <w:rsid w:val="00B3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A9E7B-072D-40C0-9C75-37F4B014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8"/>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1645-EC36-46AB-9B07-6E5F933B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2</cp:revision>
  <cp:lastPrinted>2016-04-13T08:43:00Z</cp:lastPrinted>
  <dcterms:created xsi:type="dcterms:W3CDTF">2016-11-24T10:07:00Z</dcterms:created>
  <dcterms:modified xsi:type="dcterms:W3CDTF">2016-11-24T10:07:00Z</dcterms:modified>
</cp:coreProperties>
</file>